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9D7" w:rsidRDefault="007C7228">
      <w:r>
        <w:rPr>
          <w:noProof/>
          <w:lang w:eastAsia="pl-PL"/>
        </w:rPr>
        <w:drawing>
          <wp:anchor distT="114300" distB="114300" distL="114300" distR="114300" simplePos="0" relativeHeight="251661312" behindDoc="0" locked="0" layoutInCell="1" allowOverlap="1" wp14:anchorId="3965163E" wp14:editId="76131BC4">
            <wp:simplePos x="0" y="0"/>
            <wp:positionH relativeFrom="page">
              <wp:posOffset>5347970</wp:posOffset>
            </wp:positionH>
            <wp:positionV relativeFrom="page">
              <wp:posOffset>903605</wp:posOffset>
            </wp:positionV>
            <wp:extent cx="1764665" cy="655955"/>
            <wp:effectExtent l="0" t="0" r="6985" b="0"/>
            <wp:wrapSquare wrapText="largest"/>
            <wp:docPr id="3"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2.png"/>
                    <pic:cNvPicPr>
                      <a:picLocks noChangeAspect="1" noChangeArrowheads="1"/>
                    </pic:cNvPicPr>
                  </pic:nvPicPr>
                  <pic:blipFill>
                    <a:blip r:embed="rId5"/>
                    <a:srcRect t="-11673" b="11673"/>
                    <a:stretch>
                      <a:fillRect/>
                    </a:stretch>
                  </pic:blipFill>
                  <pic:spPr bwMode="auto">
                    <a:xfrm>
                      <a:off x="0" y="0"/>
                      <a:ext cx="1764665" cy="655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97309">
        <w:rPr>
          <w:noProof/>
          <w:lang w:eastAsia="pl-PL"/>
        </w:rPr>
        <w:drawing>
          <wp:anchor distT="0" distB="0" distL="0" distR="0" simplePos="0" relativeHeight="251663360" behindDoc="0" locked="0" layoutInCell="1" allowOverlap="1" wp14:anchorId="7A001CFA" wp14:editId="71648C3E">
            <wp:simplePos x="0" y="0"/>
            <wp:positionH relativeFrom="column">
              <wp:posOffset>2125345</wp:posOffset>
            </wp:positionH>
            <wp:positionV relativeFrom="paragraph">
              <wp:posOffset>19050</wp:posOffset>
            </wp:positionV>
            <wp:extent cx="1809750" cy="733425"/>
            <wp:effectExtent l="0" t="0" r="0" b="9525"/>
            <wp:wrapSquare wrapText="largest"/>
            <wp:docPr id="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
                    <pic:cNvPicPr>
                      <a:picLocks noChangeAspect="1" noChangeArrowheads="1"/>
                    </pic:cNvPicPr>
                  </pic:nvPicPr>
                  <pic:blipFill>
                    <a:blip r:embed="rId6"/>
                    <a:stretch>
                      <a:fillRect/>
                    </a:stretch>
                  </pic:blipFill>
                  <pic:spPr bwMode="auto">
                    <a:xfrm>
                      <a:off x="0" y="0"/>
                      <a:ext cx="1809750" cy="733425"/>
                    </a:xfrm>
                    <a:prstGeom prst="rect">
                      <a:avLst/>
                    </a:prstGeom>
                    <a:noFill/>
                    <a:ln w="9525">
                      <a:noFill/>
                      <a:miter lim="800000"/>
                      <a:headEnd/>
                      <a:tailEnd/>
                    </a:ln>
                  </pic:spPr>
                </pic:pic>
              </a:graphicData>
            </a:graphic>
          </wp:anchor>
        </w:drawing>
      </w:r>
      <w:r w:rsidR="00001278">
        <w:rPr>
          <w:noProof/>
          <w:lang w:eastAsia="pl-PL"/>
        </w:rPr>
        <w:drawing>
          <wp:inline distT="114300" distB="114300" distL="114300" distR="114300" wp14:anchorId="3C504A5C" wp14:editId="6F417ED1">
            <wp:extent cx="1711842" cy="832588"/>
            <wp:effectExtent l="0" t="0" r="3175" b="5715"/>
            <wp:docPr id="1" name="image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5.png"/>
                    <pic:cNvPicPr>
                      <a:picLocks noChangeAspect="1" noChangeArrowheads="1"/>
                    </pic:cNvPicPr>
                  </pic:nvPicPr>
                  <pic:blipFill>
                    <a:blip r:embed="rId7"/>
                    <a:stretch>
                      <a:fillRect/>
                    </a:stretch>
                  </pic:blipFill>
                  <pic:spPr bwMode="auto">
                    <a:xfrm>
                      <a:off x="0" y="0"/>
                      <a:ext cx="1719192" cy="836163"/>
                    </a:xfrm>
                    <a:prstGeom prst="rect">
                      <a:avLst/>
                    </a:prstGeom>
                    <a:noFill/>
                    <a:ln w="9525">
                      <a:noFill/>
                      <a:miter lim="800000"/>
                      <a:headEnd/>
                      <a:tailEnd/>
                    </a:ln>
                  </pic:spPr>
                </pic:pic>
              </a:graphicData>
            </a:graphic>
          </wp:inline>
        </w:drawing>
      </w:r>
      <w:bookmarkStart w:id="0" w:name="h.dqnxj4wq40j0"/>
      <w:bookmarkEnd w:id="0"/>
      <w:r w:rsidR="00001278">
        <w:tab/>
      </w:r>
      <w:r w:rsidR="00001278">
        <w:tab/>
      </w:r>
      <w:r w:rsidR="00001278">
        <w:tab/>
      </w:r>
      <w:r w:rsidR="00001278">
        <w:tab/>
      </w:r>
      <w:r w:rsidR="00001278">
        <w:tab/>
      </w:r>
      <w:r w:rsidR="00001278">
        <w:tab/>
      </w:r>
      <w:r w:rsidR="00001278">
        <w:tab/>
      </w:r>
    </w:p>
    <w:p w:rsidR="00001278" w:rsidRDefault="00001278">
      <w:bookmarkStart w:id="1" w:name="_GoBack"/>
      <w:bookmarkEnd w:id="1"/>
    </w:p>
    <w:p w:rsidR="00001278" w:rsidRPr="00001278" w:rsidRDefault="00001278" w:rsidP="00001278">
      <w:pPr>
        <w:keepNext/>
        <w:suppressAutoHyphens/>
        <w:spacing w:before="300" w:after="300" w:line="240" w:lineRule="auto"/>
        <w:contextualSpacing/>
        <w:jc w:val="center"/>
        <w:outlineLvl w:val="3"/>
        <w:rPr>
          <w:rFonts w:eastAsia="Trebuchet MS" w:cs="Trebuchet MS"/>
          <w:color w:val="00000A"/>
          <w:sz w:val="24"/>
          <w:szCs w:val="24"/>
          <w:u w:val="single"/>
          <w:lang w:eastAsia="pl-PL"/>
        </w:rPr>
      </w:pPr>
      <w:r w:rsidRPr="00001278">
        <w:rPr>
          <w:rFonts w:eastAsia="Arial" w:cs="Arial"/>
          <w:b/>
          <w:color w:val="00000A"/>
          <w:sz w:val="24"/>
          <w:szCs w:val="24"/>
          <w:u w:val="single"/>
          <w:lang w:eastAsia="pl-PL"/>
        </w:rPr>
        <w:t>Projekt : Modernizacja wagonów osobowych i lokomotyw elektrycznych</w:t>
      </w:r>
    </w:p>
    <w:p w:rsidR="00001278" w:rsidRDefault="00001278" w:rsidP="00001278">
      <w:pPr>
        <w:keepNext/>
        <w:suppressAutoHyphens/>
        <w:spacing w:before="300" w:after="300" w:line="240" w:lineRule="auto"/>
        <w:contextualSpacing/>
        <w:jc w:val="center"/>
        <w:outlineLvl w:val="3"/>
        <w:rPr>
          <w:rFonts w:eastAsia="Arial" w:cs="Arial"/>
          <w:b/>
          <w:color w:val="00000A"/>
          <w:sz w:val="24"/>
          <w:szCs w:val="24"/>
          <w:u w:val="single"/>
          <w:lang w:eastAsia="pl-PL"/>
        </w:rPr>
      </w:pPr>
      <w:bookmarkStart w:id="2" w:name="h.4k42zc7bl1l1"/>
      <w:bookmarkEnd w:id="2"/>
      <w:r w:rsidRPr="00001278">
        <w:rPr>
          <w:rFonts w:eastAsia="Arial" w:cs="Arial"/>
          <w:b/>
          <w:color w:val="00000A"/>
          <w:sz w:val="24"/>
          <w:szCs w:val="24"/>
          <w:u w:val="single"/>
          <w:lang w:eastAsia="pl-PL"/>
        </w:rPr>
        <w:t>Przewozy Regionalne Sp. z o.o.</w:t>
      </w:r>
    </w:p>
    <w:p w:rsidR="00001278" w:rsidRPr="00001278" w:rsidRDefault="00001278" w:rsidP="00001278">
      <w:pPr>
        <w:keepNext/>
        <w:suppressAutoHyphens/>
        <w:spacing w:before="300" w:after="300" w:line="240" w:lineRule="auto"/>
        <w:contextualSpacing/>
        <w:jc w:val="center"/>
        <w:outlineLvl w:val="3"/>
        <w:rPr>
          <w:rFonts w:eastAsia="Trebuchet MS" w:cs="Trebuchet MS"/>
          <w:color w:val="00000A"/>
          <w:sz w:val="24"/>
          <w:szCs w:val="24"/>
          <w:u w:val="single"/>
          <w:lang w:eastAsia="pl-PL"/>
        </w:rPr>
      </w:pPr>
    </w:p>
    <w:p w:rsidR="00001278" w:rsidRPr="00001278" w:rsidRDefault="00001278" w:rsidP="00001278">
      <w:pPr>
        <w:keepNext/>
        <w:suppressAutoHyphens/>
        <w:spacing w:before="300" w:after="300" w:line="240" w:lineRule="auto"/>
        <w:contextualSpacing/>
        <w:jc w:val="center"/>
        <w:outlineLvl w:val="3"/>
        <w:rPr>
          <w:rFonts w:eastAsia="Trebuchet MS" w:cs="Trebuchet MS"/>
          <w:color w:val="00000A"/>
          <w:sz w:val="24"/>
          <w:szCs w:val="24"/>
          <w:u w:val="single"/>
          <w:lang w:eastAsia="pl-PL"/>
        </w:rPr>
      </w:pPr>
      <w:bookmarkStart w:id="3" w:name="h.ccowollwaniq"/>
      <w:bookmarkEnd w:id="3"/>
      <w:r w:rsidRPr="00001278">
        <w:rPr>
          <w:rFonts w:eastAsia="Arial" w:cs="Arial"/>
          <w:b/>
          <w:color w:val="00000A"/>
          <w:sz w:val="24"/>
          <w:szCs w:val="24"/>
          <w:u w:val="single"/>
          <w:lang w:eastAsia="pl-PL"/>
        </w:rPr>
        <w:t>Program Operacyjny Infrastruktura i Środowisko 2007-2013</w:t>
      </w:r>
    </w:p>
    <w:p w:rsidR="00001278" w:rsidRPr="00001278" w:rsidRDefault="00001278" w:rsidP="00001278">
      <w:pPr>
        <w:keepNext/>
        <w:suppressAutoHyphens/>
        <w:spacing w:before="300" w:after="300" w:line="240" w:lineRule="auto"/>
        <w:contextualSpacing/>
        <w:jc w:val="center"/>
        <w:outlineLvl w:val="3"/>
        <w:rPr>
          <w:rFonts w:eastAsia="Trebuchet MS" w:cs="Trebuchet MS"/>
          <w:color w:val="00000A"/>
          <w:sz w:val="24"/>
          <w:szCs w:val="24"/>
          <w:u w:val="single"/>
          <w:lang w:eastAsia="pl-PL"/>
        </w:rPr>
      </w:pPr>
      <w:bookmarkStart w:id="4" w:name="h.qlctho52o765"/>
      <w:bookmarkEnd w:id="4"/>
      <w:r w:rsidRPr="00001278">
        <w:rPr>
          <w:rFonts w:eastAsia="Arial" w:cs="Arial"/>
          <w:b/>
          <w:color w:val="00000A"/>
          <w:sz w:val="24"/>
          <w:szCs w:val="24"/>
          <w:u w:val="single"/>
          <w:lang w:eastAsia="pl-PL"/>
        </w:rPr>
        <w:t>oś priorytetowa VII Transport przyjazny środowisku,</w:t>
      </w:r>
    </w:p>
    <w:p w:rsidR="00001278" w:rsidRDefault="00001278" w:rsidP="00001278">
      <w:pPr>
        <w:keepNext/>
        <w:suppressAutoHyphens/>
        <w:spacing w:before="300" w:after="300" w:line="240" w:lineRule="auto"/>
        <w:contextualSpacing/>
        <w:jc w:val="center"/>
        <w:outlineLvl w:val="3"/>
        <w:rPr>
          <w:rFonts w:eastAsia="Arial" w:cs="Arial"/>
          <w:b/>
          <w:color w:val="00000A"/>
          <w:sz w:val="24"/>
          <w:szCs w:val="24"/>
          <w:u w:val="single"/>
          <w:lang w:eastAsia="pl-PL"/>
        </w:rPr>
      </w:pPr>
      <w:bookmarkStart w:id="5" w:name="h.p23wo9r6xn25"/>
      <w:bookmarkEnd w:id="5"/>
      <w:r w:rsidRPr="00001278">
        <w:rPr>
          <w:rFonts w:eastAsia="Arial" w:cs="Arial"/>
          <w:b/>
          <w:color w:val="00000A"/>
          <w:sz w:val="24"/>
          <w:szCs w:val="24"/>
          <w:u w:val="single"/>
          <w:lang w:eastAsia="pl-PL"/>
        </w:rPr>
        <w:t xml:space="preserve"> działanie 7.1 Rozwój transportu kolejowego.</w:t>
      </w:r>
    </w:p>
    <w:p w:rsidR="00001278" w:rsidRPr="00001278" w:rsidRDefault="00001278" w:rsidP="00001278">
      <w:pPr>
        <w:keepNext/>
        <w:suppressAutoHyphens/>
        <w:spacing w:before="300" w:after="300" w:line="240" w:lineRule="auto"/>
        <w:contextualSpacing/>
        <w:jc w:val="center"/>
        <w:outlineLvl w:val="3"/>
        <w:rPr>
          <w:rFonts w:eastAsia="Trebuchet MS" w:cs="Trebuchet MS"/>
          <w:color w:val="00000A"/>
          <w:sz w:val="24"/>
          <w:szCs w:val="24"/>
          <w:u w:val="single"/>
          <w:lang w:eastAsia="pl-PL"/>
        </w:rPr>
      </w:pPr>
    </w:p>
    <w:p w:rsidR="00001278" w:rsidRPr="00001278" w:rsidRDefault="00001278" w:rsidP="00001278">
      <w:pPr>
        <w:keepNext/>
        <w:suppressAutoHyphens/>
        <w:spacing w:before="300" w:after="300" w:line="240" w:lineRule="auto"/>
        <w:contextualSpacing/>
        <w:jc w:val="center"/>
        <w:outlineLvl w:val="3"/>
        <w:rPr>
          <w:rFonts w:eastAsia="Trebuchet MS" w:cs="Trebuchet MS"/>
          <w:color w:val="00000A"/>
          <w:sz w:val="24"/>
          <w:szCs w:val="24"/>
          <w:u w:val="single"/>
          <w:lang w:eastAsia="pl-PL"/>
        </w:rPr>
      </w:pPr>
      <w:bookmarkStart w:id="6" w:name="h.u2fn9r82xjvr"/>
      <w:bookmarkEnd w:id="6"/>
      <w:r w:rsidRPr="00001278">
        <w:rPr>
          <w:rFonts w:eastAsia="Arial" w:cs="Arial"/>
          <w:b/>
          <w:color w:val="00000A"/>
          <w:sz w:val="24"/>
          <w:szCs w:val="24"/>
          <w:u w:val="single"/>
          <w:lang w:eastAsia="pl-PL"/>
        </w:rPr>
        <w:t>Umowa o dofinansowanie nr POIS.07.01.00-00-078/14-00</w:t>
      </w:r>
    </w:p>
    <w:p w:rsidR="00001278" w:rsidRDefault="00001278" w:rsidP="00001278">
      <w:pPr>
        <w:keepNext/>
        <w:suppressAutoHyphens/>
        <w:spacing w:before="300" w:after="300" w:line="240" w:lineRule="auto"/>
        <w:contextualSpacing/>
        <w:jc w:val="center"/>
        <w:outlineLvl w:val="3"/>
        <w:rPr>
          <w:rFonts w:eastAsia="Arial" w:cs="Arial"/>
          <w:b/>
          <w:color w:val="00000A"/>
          <w:sz w:val="24"/>
          <w:szCs w:val="24"/>
          <w:u w:val="single"/>
          <w:lang w:eastAsia="pl-PL"/>
        </w:rPr>
      </w:pPr>
      <w:bookmarkStart w:id="7" w:name="h.vt8akgnbyz98"/>
      <w:bookmarkStart w:id="8" w:name="h.37cx13bzfeax"/>
      <w:bookmarkEnd w:id="7"/>
      <w:bookmarkEnd w:id="8"/>
      <w:r w:rsidRPr="00001278">
        <w:rPr>
          <w:rFonts w:eastAsia="Arial" w:cs="Arial"/>
          <w:b/>
          <w:color w:val="00000A"/>
          <w:sz w:val="24"/>
          <w:szCs w:val="24"/>
          <w:u w:val="single"/>
          <w:lang w:eastAsia="pl-PL"/>
        </w:rPr>
        <w:t>zawarta w Warszawie dnia 17 czerwca 2015 r.</w:t>
      </w:r>
    </w:p>
    <w:p w:rsidR="00001278" w:rsidRPr="00001278" w:rsidRDefault="00001278" w:rsidP="00001278">
      <w:pPr>
        <w:keepNext/>
        <w:suppressAutoHyphens/>
        <w:spacing w:before="300" w:after="300" w:line="240" w:lineRule="auto"/>
        <w:contextualSpacing/>
        <w:jc w:val="center"/>
        <w:outlineLvl w:val="3"/>
        <w:rPr>
          <w:rFonts w:eastAsia="Trebuchet MS" w:cs="Trebuchet MS"/>
          <w:color w:val="00000A"/>
          <w:sz w:val="24"/>
          <w:szCs w:val="24"/>
          <w:u w:val="single"/>
          <w:lang w:eastAsia="pl-PL"/>
        </w:rPr>
      </w:pPr>
    </w:p>
    <w:p w:rsidR="00001278" w:rsidRPr="00001278" w:rsidRDefault="00001278" w:rsidP="00001278">
      <w:pPr>
        <w:suppressAutoHyphens/>
        <w:spacing w:before="180" w:after="180" w:line="240" w:lineRule="auto"/>
        <w:jc w:val="center"/>
        <w:rPr>
          <w:rFonts w:eastAsia="Arial" w:cs="Arial"/>
          <w:color w:val="000000"/>
          <w:sz w:val="24"/>
          <w:szCs w:val="24"/>
          <w:lang w:eastAsia="pl-PL"/>
        </w:rPr>
      </w:pPr>
      <w:r w:rsidRPr="00001278">
        <w:rPr>
          <w:rFonts w:eastAsia="Arial" w:cs="Arial"/>
          <w:b/>
          <w:color w:val="00000A"/>
          <w:sz w:val="24"/>
          <w:szCs w:val="24"/>
          <w:u w:val="single"/>
          <w:lang w:eastAsia="pl-PL"/>
        </w:rPr>
        <w:t>Wartość projektu to: 55 642 338,33 PLN</w:t>
      </w:r>
    </w:p>
    <w:p w:rsidR="00001278" w:rsidRPr="00001278" w:rsidRDefault="00001278" w:rsidP="00001278">
      <w:pPr>
        <w:suppressAutoHyphens/>
        <w:spacing w:before="180" w:after="180" w:line="240" w:lineRule="auto"/>
        <w:jc w:val="center"/>
        <w:rPr>
          <w:rFonts w:eastAsia="Arial" w:cs="Arial"/>
          <w:color w:val="000000"/>
          <w:sz w:val="24"/>
          <w:szCs w:val="24"/>
          <w:lang w:eastAsia="pl-PL"/>
        </w:rPr>
      </w:pPr>
      <w:r w:rsidRPr="00001278">
        <w:rPr>
          <w:rFonts w:eastAsia="Arial" w:cs="Arial"/>
          <w:b/>
          <w:color w:val="00000A"/>
          <w:sz w:val="24"/>
          <w:szCs w:val="24"/>
          <w:u w:val="single"/>
          <w:lang w:eastAsia="pl-PL"/>
        </w:rPr>
        <w:t>Maksymalna wartość dofinansowania z Unii Europejskiej to: 34 774 916,50 PLN</w:t>
      </w:r>
    </w:p>
    <w:p w:rsidR="00001278" w:rsidRPr="00001278" w:rsidRDefault="00001278" w:rsidP="00001278">
      <w:pPr>
        <w:suppressAutoHyphens/>
        <w:spacing w:before="180" w:after="180" w:line="360" w:lineRule="auto"/>
        <w:rPr>
          <w:rFonts w:eastAsia="Arial" w:cs="Arial"/>
          <w:color w:val="000000"/>
          <w:sz w:val="24"/>
          <w:szCs w:val="24"/>
          <w:lang w:eastAsia="pl-PL"/>
        </w:rPr>
      </w:pPr>
    </w:p>
    <w:p w:rsidR="00001278" w:rsidRPr="00001278" w:rsidRDefault="00001278" w:rsidP="00001278">
      <w:pPr>
        <w:suppressAutoHyphens/>
        <w:spacing w:after="0"/>
        <w:ind w:firstLine="720"/>
        <w:jc w:val="both"/>
        <w:rPr>
          <w:rFonts w:eastAsia="Arial" w:cs="Arial"/>
          <w:color w:val="000000"/>
          <w:sz w:val="24"/>
          <w:szCs w:val="24"/>
          <w:lang w:eastAsia="pl-PL"/>
        </w:rPr>
      </w:pPr>
      <w:r w:rsidRPr="00001278">
        <w:rPr>
          <w:rFonts w:eastAsia="Arial" w:cs="Arial"/>
          <w:color w:val="000000"/>
          <w:sz w:val="24"/>
          <w:szCs w:val="24"/>
          <w:lang w:eastAsia="pl-PL"/>
        </w:rPr>
        <w:t xml:space="preserve">W ramach projektu pn. </w:t>
      </w:r>
      <w:r w:rsidRPr="00001278">
        <w:rPr>
          <w:rFonts w:eastAsia="Arial" w:cs="Arial"/>
          <w:i/>
          <w:color w:val="000000"/>
          <w:sz w:val="24"/>
          <w:szCs w:val="24"/>
          <w:lang w:eastAsia="pl-PL"/>
        </w:rPr>
        <w:t>,,Modernizacja wagonów osobowych i lokomotyw elektrycznych”</w:t>
      </w:r>
      <w:r w:rsidRPr="00001278">
        <w:rPr>
          <w:rFonts w:eastAsia="Arial" w:cs="Arial"/>
          <w:color w:val="000000"/>
          <w:sz w:val="24"/>
          <w:szCs w:val="24"/>
          <w:lang w:eastAsia="pl-PL"/>
        </w:rPr>
        <w:t xml:space="preserve"> zmodernizowanych zostało 18 szt. wagonów i 5 szt. lokomotyw elektrycznych przeznaczonych do obsługi połączeń międzywojewódzkich (modernizacja została już wykonana). Z łącznej liczby 18 szt. wagonów pasażerskich i 5 szt. lokomotyw elektrycznych w codziennej eksploatacji będzie 15 szt. wagonów i 3 lokomotywy. Pozostałe 3 wagony </w:t>
      </w:r>
      <w:r>
        <w:rPr>
          <w:rFonts w:eastAsia="Arial" w:cs="Arial"/>
          <w:color w:val="000000"/>
          <w:sz w:val="24"/>
          <w:szCs w:val="24"/>
          <w:lang w:eastAsia="pl-PL"/>
        </w:rPr>
        <w:br/>
      </w:r>
      <w:r w:rsidRPr="00001278">
        <w:rPr>
          <w:rFonts w:eastAsia="Arial" w:cs="Arial"/>
          <w:color w:val="000000"/>
          <w:sz w:val="24"/>
          <w:szCs w:val="24"/>
          <w:lang w:eastAsia="pl-PL"/>
        </w:rPr>
        <w:t xml:space="preserve">i 2 lokomotywy będą stanowić rezerwę. </w:t>
      </w:r>
    </w:p>
    <w:p w:rsidR="00001278" w:rsidRPr="00001278" w:rsidRDefault="00001278" w:rsidP="00001278">
      <w:pPr>
        <w:suppressAutoHyphens/>
        <w:spacing w:before="120" w:after="0"/>
        <w:ind w:firstLine="720"/>
        <w:jc w:val="both"/>
        <w:rPr>
          <w:rFonts w:eastAsia="Arial" w:cs="Arial"/>
          <w:color w:val="000000"/>
          <w:sz w:val="24"/>
          <w:szCs w:val="24"/>
          <w:lang w:eastAsia="pl-PL"/>
        </w:rPr>
      </w:pPr>
      <w:r w:rsidRPr="00001278">
        <w:rPr>
          <w:rFonts w:eastAsia="Arial" w:cs="Arial"/>
          <w:color w:val="000000"/>
          <w:sz w:val="24"/>
          <w:szCs w:val="24"/>
          <w:lang w:eastAsia="pl-PL"/>
        </w:rPr>
        <w:t>Zmodernizowany tabor będzie kursował na trasie: Poznań – Wrocław – Wałbrzych – Jelenia Góra – Szklarska Poręba.</w:t>
      </w:r>
    </w:p>
    <w:p w:rsidR="00001278" w:rsidRPr="00001278" w:rsidRDefault="00001278" w:rsidP="00001278">
      <w:pPr>
        <w:suppressAutoHyphens/>
        <w:spacing w:before="120" w:after="0"/>
        <w:ind w:firstLine="720"/>
        <w:jc w:val="both"/>
        <w:rPr>
          <w:rFonts w:eastAsia="Arial" w:cs="Arial"/>
          <w:color w:val="000000"/>
          <w:sz w:val="24"/>
          <w:szCs w:val="24"/>
          <w:lang w:eastAsia="pl-PL"/>
        </w:rPr>
      </w:pPr>
      <w:r w:rsidRPr="00001278">
        <w:rPr>
          <w:rFonts w:eastAsia="Arial" w:cs="Arial"/>
          <w:color w:val="000000"/>
          <w:sz w:val="24"/>
          <w:szCs w:val="24"/>
          <w:lang w:eastAsia="pl-PL"/>
        </w:rPr>
        <w:t xml:space="preserve">Relacje te będą realizowane na podstawie umów o świadczenie usług publicznych (pociągi REGIO) w zakresie kolejowych przewozów pasażerskich, zawieranych </w:t>
      </w:r>
      <w:r w:rsidRPr="00001278">
        <w:rPr>
          <w:rFonts w:eastAsia="Arial" w:cs="Arial"/>
          <w:color w:val="000000"/>
          <w:sz w:val="24"/>
          <w:szCs w:val="24"/>
          <w:lang w:eastAsia="pl-PL"/>
        </w:rPr>
        <w:br/>
        <w:t xml:space="preserve">z samorządami województw. </w:t>
      </w:r>
    </w:p>
    <w:p w:rsidR="00001278" w:rsidRPr="00001278" w:rsidRDefault="00001278" w:rsidP="00001278">
      <w:pPr>
        <w:suppressAutoHyphens/>
        <w:spacing w:before="120" w:after="0"/>
        <w:ind w:firstLine="720"/>
        <w:jc w:val="both"/>
        <w:rPr>
          <w:rFonts w:eastAsia="Arial" w:cs="Arial"/>
          <w:color w:val="000000"/>
          <w:sz w:val="24"/>
          <w:szCs w:val="24"/>
          <w:lang w:eastAsia="pl-PL"/>
        </w:rPr>
      </w:pPr>
      <w:r w:rsidRPr="00001278">
        <w:rPr>
          <w:rFonts w:eastAsia="Arial" w:cs="Arial"/>
          <w:color w:val="000000"/>
          <w:sz w:val="24"/>
          <w:szCs w:val="24"/>
          <w:lang w:eastAsia="pl-PL"/>
        </w:rPr>
        <w:t xml:space="preserve">Zmodernizowany w ramach Projektu tabor posiada deklaracje zgodności </w:t>
      </w:r>
      <w:r w:rsidRPr="00001278">
        <w:rPr>
          <w:rFonts w:eastAsia="Arial" w:cs="Arial"/>
          <w:color w:val="000000"/>
          <w:sz w:val="24"/>
          <w:szCs w:val="24"/>
          <w:lang w:eastAsia="pl-PL"/>
        </w:rPr>
        <w:br/>
        <w:t>z obowiązującymi normami środowiskowymi, bezpieczeństwa oraz interoperacyjności (tabor jest zgodny ze wspólnotowymi technicznymi specyfikacjami interoperacyjności dla kolei, czyli tzw. specyfikacjami TSI). Wykonawca modernizacji taboru uzyskał wszystkie dopuszczenia wymagane prawem polskim (organ dopuszczający w Polsce to Urząd Transportu Kolejowego).</w:t>
      </w:r>
    </w:p>
    <w:p w:rsidR="00001278" w:rsidRPr="00001278" w:rsidRDefault="00001278" w:rsidP="00001278">
      <w:pPr>
        <w:suppressAutoHyphens/>
        <w:spacing w:before="120" w:after="0"/>
        <w:ind w:firstLine="720"/>
        <w:jc w:val="both"/>
        <w:rPr>
          <w:rFonts w:eastAsia="Arial" w:cs="Arial"/>
          <w:color w:val="000000"/>
          <w:sz w:val="24"/>
          <w:szCs w:val="24"/>
          <w:lang w:eastAsia="pl-PL"/>
        </w:rPr>
      </w:pPr>
      <w:r w:rsidRPr="00001278">
        <w:rPr>
          <w:rFonts w:eastAsia="Arial" w:cs="Arial"/>
          <w:color w:val="000000"/>
          <w:sz w:val="24"/>
          <w:szCs w:val="24"/>
          <w:lang w:eastAsia="pl-PL"/>
        </w:rPr>
        <w:t xml:space="preserve">Zmodernizowany w ramach Projektu tabor posiada parametry trakcyjne zgodnie z wymogami UIC – maksymalna prędkość 120 km/h, a zmodernizowane wagony pasażerskie </w:t>
      </w:r>
      <w:r w:rsidRPr="00001278">
        <w:rPr>
          <w:rFonts w:eastAsia="Arial" w:cs="Arial"/>
          <w:color w:val="000000"/>
          <w:sz w:val="24"/>
          <w:szCs w:val="24"/>
          <w:lang w:eastAsia="pl-PL"/>
        </w:rPr>
        <w:lastRenderedPageBreak/>
        <w:t xml:space="preserve">są przystosowane do obsługi osób niepełnosprawnych (z ograniczoną możliwością poruszania się, niedosłyszących, niedowidzących oraz słabo widzących). </w:t>
      </w:r>
    </w:p>
    <w:p w:rsidR="00001278" w:rsidRPr="00001278" w:rsidRDefault="00001278" w:rsidP="00001278">
      <w:pPr>
        <w:shd w:val="clear" w:color="auto" w:fill="FFFFFF"/>
        <w:suppressAutoHyphens/>
        <w:spacing w:before="120" w:after="0"/>
        <w:ind w:firstLine="720"/>
        <w:jc w:val="both"/>
        <w:rPr>
          <w:rFonts w:eastAsia="Arial" w:cs="Arial"/>
          <w:color w:val="000000"/>
          <w:sz w:val="24"/>
          <w:szCs w:val="24"/>
          <w:lang w:eastAsia="pl-PL"/>
        </w:rPr>
      </w:pPr>
      <w:r w:rsidRPr="00001278">
        <w:rPr>
          <w:rFonts w:eastAsia="Arial" w:cs="Arial"/>
          <w:color w:val="000000"/>
          <w:sz w:val="24"/>
          <w:szCs w:val="24"/>
          <w:lang w:eastAsia="pl-PL"/>
        </w:rPr>
        <w:t xml:space="preserve">Realizacja tego Projektu, współfinansowanego z Funduszu Spójności w ramach działania 7.1 - Rozwój transportu kolejowego Programu Operacyjnego Infrastruktura i Środowisko 2007-2013 (www.pois.gov.pl), ma na celu zapewnienie i udogodnienie podróżnym codziennych dojazdów do pracy i szkół, do centrów handlowych, administracyjnych czy kulturalnych. </w:t>
      </w:r>
    </w:p>
    <w:p w:rsidR="00001278" w:rsidRDefault="00001278" w:rsidP="00001278">
      <w:pPr>
        <w:suppressAutoHyphens/>
        <w:spacing w:after="0" w:line="360" w:lineRule="auto"/>
        <w:ind w:firstLine="720"/>
        <w:jc w:val="both"/>
        <w:rPr>
          <w:rFonts w:eastAsia="Arial" w:cs="Arial"/>
          <w:color w:val="000000"/>
          <w:sz w:val="24"/>
          <w:szCs w:val="24"/>
          <w:lang w:eastAsia="pl-PL"/>
        </w:rPr>
      </w:pPr>
    </w:p>
    <w:p w:rsidR="00001278" w:rsidRPr="00001278" w:rsidRDefault="00001278" w:rsidP="00001278">
      <w:pPr>
        <w:suppressAutoHyphens/>
        <w:spacing w:after="0" w:line="360" w:lineRule="auto"/>
        <w:ind w:firstLine="720"/>
        <w:jc w:val="both"/>
        <w:rPr>
          <w:rFonts w:eastAsia="Arial" w:cs="Arial"/>
          <w:color w:val="000000"/>
          <w:sz w:val="24"/>
          <w:szCs w:val="24"/>
          <w:lang w:eastAsia="pl-PL"/>
        </w:rPr>
      </w:pPr>
    </w:p>
    <w:p w:rsidR="00001278" w:rsidRPr="00001278" w:rsidRDefault="00001278" w:rsidP="00001278">
      <w:pPr>
        <w:suppressAutoHyphens/>
        <w:spacing w:after="0"/>
        <w:rPr>
          <w:rFonts w:eastAsia="Arial" w:cs="Arial"/>
          <w:color w:val="000000"/>
          <w:sz w:val="24"/>
          <w:szCs w:val="24"/>
          <w:lang w:eastAsia="pl-PL"/>
        </w:rPr>
      </w:pPr>
    </w:p>
    <w:p w:rsidR="00001278" w:rsidRPr="00001278" w:rsidRDefault="00001278" w:rsidP="00001278">
      <w:pPr>
        <w:suppressAutoHyphens/>
        <w:spacing w:after="0"/>
        <w:rPr>
          <w:rFonts w:eastAsia="Arial" w:cs="Arial"/>
          <w:color w:val="000000"/>
          <w:sz w:val="24"/>
          <w:szCs w:val="24"/>
          <w:lang w:eastAsia="pl-PL"/>
        </w:rPr>
      </w:pPr>
    </w:p>
    <w:p w:rsidR="00001278" w:rsidRPr="00001278" w:rsidRDefault="00001278" w:rsidP="00001278">
      <w:pPr>
        <w:suppressAutoHyphens/>
        <w:spacing w:after="0"/>
        <w:rPr>
          <w:rFonts w:eastAsia="Arial" w:cs="Arial"/>
          <w:color w:val="000000"/>
          <w:sz w:val="24"/>
          <w:szCs w:val="24"/>
          <w:lang w:eastAsia="pl-PL"/>
        </w:rPr>
      </w:pPr>
    </w:p>
    <w:p w:rsidR="00001278" w:rsidRPr="00001278" w:rsidRDefault="00001278" w:rsidP="00001278">
      <w:pPr>
        <w:suppressAutoHyphens/>
        <w:spacing w:after="0"/>
        <w:rPr>
          <w:rFonts w:eastAsia="Arial" w:cs="Arial"/>
          <w:color w:val="000000"/>
          <w:sz w:val="24"/>
          <w:szCs w:val="24"/>
          <w:lang w:eastAsia="pl-PL"/>
        </w:rPr>
      </w:pPr>
    </w:p>
    <w:p w:rsidR="00001278" w:rsidRPr="00001278" w:rsidRDefault="00001278" w:rsidP="00001278">
      <w:pPr>
        <w:suppressAutoHyphens/>
        <w:spacing w:after="0"/>
        <w:rPr>
          <w:rFonts w:eastAsia="Arial" w:cs="Arial"/>
          <w:color w:val="000000"/>
          <w:sz w:val="24"/>
          <w:szCs w:val="24"/>
          <w:lang w:eastAsia="pl-PL"/>
        </w:rPr>
      </w:pPr>
      <w:r w:rsidRPr="00001278">
        <w:rPr>
          <w:rFonts w:eastAsia="Arial" w:cs="Arial"/>
          <w:color w:val="000000"/>
          <w:sz w:val="24"/>
          <w:szCs w:val="24"/>
          <w:lang w:eastAsia="pl-PL"/>
        </w:rPr>
        <w:t>Linki:</w:t>
      </w:r>
    </w:p>
    <w:p w:rsidR="00001278" w:rsidRPr="00001278" w:rsidRDefault="007C7228" w:rsidP="00001278">
      <w:pPr>
        <w:suppressAutoHyphens/>
        <w:spacing w:after="0"/>
        <w:rPr>
          <w:rFonts w:eastAsia="Arial" w:cs="Arial"/>
          <w:color w:val="000000"/>
          <w:sz w:val="24"/>
          <w:szCs w:val="24"/>
          <w:lang w:eastAsia="pl-PL"/>
        </w:rPr>
      </w:pPr>
      <w:hyperlink r:id="rId8">
        <w:r w:rsidR="00001278" w:rsidRPr="00001278">
          <w:rPr>
            <w:rFonts w:eastAsia="Arial" w:cs="Arial"/>
            <w:color w:val="0000FF" w:themeColor="hyperlink"/>
            <w:sz w:val="24"/>
            <w:szCs w:val="24"/>
            <w:u w:val="single"/>
            <w:lang w:eastAsia="pl-PL"/>
          </w:rPr>
          <w:t>www.pois.gov.pl</w:t>
        </w:r>
      </w:hyperlink>
    </w:p>
    <w:p w:rsidR="00001278" w:rsidRPr="00001278" w:rsidRDefault="007C7228" w:rsidP="00001278">
      <w:pPr>
        <w:suppressAutoHyphens/>
        <w:spacing w:after="0"/>
        <w:rPr>
          <w:rFonts w:eastAsia="Arial" w:cs="Arial"/>
          <w:color w:val="000000"/>
          <w:sz w:val="24"/>
          <w:szCs w:val="24"/>
          <w:lang w:eastAsia="pl-PL"/>
        </w:rPr>
      </w:pPr>
      <w:hyperlink r:id="rId9">
        <w:r w:rsidR="00001278" w:rsidRPr="00001278">
          <w:rPr>
            <w:rFonts w:eastAsia="Arial" w:cs="Arial"/>
            <w:color w:val="0000FF" w:themeColor="hyperlink"/>
            <w:sz w:val="24"/>
            <w:szCs w:val="24"/>
            <w:u w:val="single"/>
            <w:lang w:eastAsia="pl-PL"/>
          </w:rPr>
          <w:t>www.cupt.gov.pl</w:t>
        </w:r>
      </w:hyperlink>
    </w:p>
    <w:p w:rsidR="00001278" w:rsidRPr="00001278" w:rsidRDefault="007C7228" w:rsidP="00001278">
      <w:pPr>
        <w:suppressAutoHyphens/>
        <w:spacing w:after="0"/>
        <w:rPr>
          <w:rFonts w:eastAsia="Arial" w:cs="Arial"/>
          <w:color w:val="000000"/>
          <w:sz w:val="24"/>
          <w:szCs w:val="24"/>
          <w:lang w:eastAsia="pl-PL"/>
        </w:rPr>
      </w:pPr>
      <w:hyperlink r:id="rId10">
        <w:r w:rsidR="00001278" w:rsidRPr="00001278">
          <w:rPr>
            <w:rFonts w:eastAsia="Arial" w:cs="Arial"/>
            <w:color w:val="0000FF" w:themeColor="hyperlink"/>
            <w:sz w:val="24"/>
            <w:szCs w:val="24"/>
            <w:u w:val="single"/>
            <w:lang w:eastAsia="pl-PL"/>
          </w:rPr>
          <w:t>www.mir.gov.pl</w:t>
        </w:r>
      </w:hyperlink>
    </w:p>
    <w:p w:rsidR="00001278" w:rsidRDefault="00001278"/>
    <w:sectPr w:rsidR="000012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278"/>
    <w:rsid w:val="00001278"/>
    <w:rsid w:val="00097309"/>
    <w:rsid w:val="007C7228"/>
    <w:rsid w:val="00D959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012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12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012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1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is.gov.pl/"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mir.gov.pl/" TargetMode="External"/><Relationship Id="rId4" Type="http://schemas.openxmlformats.org/officeDocument/2006/relationships/webSettings" Target="webSettings.xml"/><Relationship Id="rId9" Type="http://schemas.openxmlformats.org/officeDocument/2006/relationships/hyperlink" Target="http://www.cup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355</Words>
  <Characters>2133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Andrzejewska</dc:creator>
  <cp:lastModifiedBy>Urszula Andrzejewska</cp:lastModifiedBy>
  <cp:revision>4</cp:revision>
  <dcterms:created xsi:type="dcterms:W3CDTF">2019-11-27T12:29:00Z</dcterms:created>
  <dcterms:modified xsi:type="dcterms:W3CDTF">2019-11-27T13:29:00Z</dcterms:modified>
</cp:coreProperties>
</file>