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7B92" w14:textId="77777777" w:rsidR="00AE3262" w:rsidRDefault="00AE3262">
      <w:pPr>
        <w:tabs>
          <w:tab w:val="left" w:pos="4536"/>
        </w:tabs>
      </w:pPr>
    </w:p>
    <w:p w14:paraId="52AE57AB" w14:textId="77777777" w:rsidR="00AE3262" w:rsidRDefault="00AE3262">
      <w:pPr>
        <w:tabs>
          <w:tab w:val="left" w:pos="4536"/>
        </w:tabs>
      </w:pPr>
    </w:p>
    <w:p w14:paraId="05662DD7" w14:textId="77777777" w:rsidR="00AE3262" w:rsidRDefault="005B16BF" w:rsidP="005B16BF">
      <w:pPr>
        <w:jc w:val="center"/>
        <w:rPr>
          <w:b/>
        </w:rPr>
      </w:pPr>
      <w:proofErr w:type="spellStart"/>
      <w:r>
        <w:rPr>
          <w:b/>
        </w:rPr>
        <w:t>Videomat</w:t>
      </w:r>
      <w:proofErr w:type="spellEnd"/>
      <w:r>
        <w:rPr>
          <w:b/>
        </w:rPr>
        <w:t xml:space="preserve"> z funkcją e-kasjera</w:t>
      </w:r>
    </w:p>
    <w:p w14:paraId="3BF9481A" w14:textId="77777777" w:rsidR="00AE3262" w:rsidRDefault="00AE3262">
      <w:pPr>
        <w:rPr>
          <w:b/>
        </w:rPr>
      </w:pPr>
    </w:p>
    <w:p w14:paraId="654FF3B8" w14:textId="77777777" w:rsidR="00AE3262" w:rsidRDefault="00AE3262">
      <w:pPr>
        <w:rPr>
          <w:b/>
        </w:rPr>
      </w:pPr>
    </w:p>
    <w:p w14:paraId="4745D7B9" w14:textId="5A4F5F28" w:rsidR="00AE3262" w:rsidRDefault="00000000" w:rsidP="005B16BF">
      <w:pPr>
        <w:jc w:val="center"/>
        <w:rPr>
          <w:b/>
        </w:rPr>
      </w:pPr>
      <w:sdt>
        <w:sdtPr>
          <w:tag w:val="goog_rdk_0"/>
          <w:id w:val="-1641019910"/>
        </w:sdtPr>
        <w:sdtContent/>
      </w:sdt>
      <w:r w:rsidR="009D1266">
        <w:rPr>
          <w:b/>
        </w:rPr>
        <w:t>POLREGIO</w:t>
      </w:r>
      <w:r w:rsidR="0096560B">
        <w:rPr>
          <w:b/>
        </w:rPr>
        <w:t xml:space="preserve"> wdraża innowacyjną usługę, która ułatwi pasażerowi proces zakupu </w:t>
      </w:r>
      <w:r w:rsidR="005B16BF">
        <w:rPr>
          <w:b/>
        </w:rPr>
        <w:br/>
      </w:r>
      <w:r w:rsidR="0096560B">
        <w:rPr>
          <w:b/>
        </w:rPr>
        <w:t>biletu kolejowego</w:t>
      </w:r>
    </w:p>
    <w:p w14:paraId="5D71B40A" w14:textId="77777777" w:rsidR="00AE3262" w:rsidRDefault="00AE3262">
      <w:pPr>
        <w:rPr>
          <w:b/>
        </w:rPr>
      </w:pPr>
    </w:p>
    <w:p w14:paraId="6E14C9AF" w14:textId="408F1021" w:rsidR="00AE3262" w:rsidRDefault="009D1266">
      <w:pPr>
        <w:rPr>
          <w:b/>
        </w:rPr>
      </w:pPr>
      <w:r>
        <w:rPr>
          <w:b/>
        </w:rPr>
        <w:t>POLREGIO</w:t>
      </w:r>
      <w:r w:rsidR="0096560B">
        <w:rPr>
          <w:b/>
        </w:rPr>
        <w:t xml:space="preserve"> wprowadza na rynek VIDEOMATY, innowacyjne rozwiązanie technologiczne, dzięki któremu podróżny w trakcie kupowania biletu, będzie mógł skorzystać z pomocy </w:t>
      </w:r>
      <w:r w:rsidR="00EF4E48">
        <w:rPr>
          <w:b/>
        </w:rPr>
        <w:t>e-</w:t>
      </w:r>
      <w:r w:rsidR="00845D37">
        <w:rPr>
          <w:b/>
        </w:rPr>
        <w:t>kasjera</w:t>
      </w:r>
      <w:r w:rsidR="00F92B6C">
        <w:rPr>
          <w:b/>
        </w:rPr>
        <w:t xml:space="preserve">. </w:t>
      </w:r>
      <w:r w:rsidR="00845D37">
        <w:rPr>
          <w:b/>
        </w:rPr>
        <w:t>Wykorzystanie nowoczesnej technologii pozwoli</w:t>
      </w:r>
      <w:r w:rsidR="00EF4E48">
        <w:rPr>
          <w:b/>
        </w:rPr>
        <w:t xml:space="preserve"> na uzupełnienie sieci kas biletowych o urządzenia samoobsługowe</w:t>
      </w:r>
      <w:r w:rsidR="00892A0C">
        <w:rPr>
          <w:b/>
        </w:rPr>
        <w:t>,</w:t>
      </w:r>
      <w:r w:rsidR="00EF4E48">
        <w:rPr>
          <w:b/>
        </w:rPr>
        <w:t xml:space="preserve"> ale wyposażone w usługę</w:t>
      </w:r>
      <w:r w:rsidR="00F92B6C">
        <w:rPr>
          <w:b/>
        </w:rPr>
        <w:t>,</w:t>
      </w:r>
      <w:r w:rsidR="00EF4E48">
        <w:rPr>
          <w:b/>
        </w:rPr>
        <w:t xml:space="preserve"> </w:t>
      </w:r>
      <w:r w:rsidR="0096560B">
        <w:rPr>
          <w:b/>
        </w:rPr>
        <w:t xml:space="preserve"> pozwalają</w:t>
      </w:r>
      <w:r w:rsidR="00845D37">
        <w:rPr>
          <w:b/>
        </w:rPr>
        <w:t>cą</w:t>
      </w:r>
      <w:r w:rsidR="00AA3DBC">
        <w:rPr>
          <w:b/>
        </w:rPr>
        <w:t xml:space="preserve"> na</w:t>
      </w:r>
      <w:r w:rsidR="00845D37">
        <w:rPr>
          <w:b/>
        </w:rPr>
        <w:t xml:space="preserve"> </w:t>
      </w:r>
      <w:r w:rsidR="00AA3DBC">
        <w:rPr>
          <w:b/>
        </w:rPr>
        <w:t xml:space="preserve">kontakt w postaci transmisji wideo z </w:t>
      </w:r>
      <w:r w:rsidR="009B1567">
        <w:rPr>
          <w:b/>
        </w:rPr>
        <w:t xml:space="preserve"> konsulta</w:t>
      </w:r>
      <w:r w:rsidR="00AA3DBC">
        <w:rPr>
          <w:b/>
        </w:rPr>
        <w:t>ntem</w:t>
      </w:r>
      <w:r w:rsidR="00845D37">
        <w:rPr>
          <w:b/>
        </w:rPr>
        <w:t>. Spółka pilotażowo wdroży 10 urządzeń na mniejszych i większych dworcach kolejowych.</w:t>
      </w:r>
      <w:r w:rsidR="0096560B">
        <w:rPr>
          <w:b/>
        </w:rPr>
        <w:t xml:space="preserve"> Jest to pierwsze tak nowoczesne rozwiązanie na polskim rynku.</w:t>
      </w:r>
    </w:p>
    <w:p w14:paraId="2E8A278D" w14:textId="77777777" w:rsidR="00364B8B" w:rsidRDefault="00364B8B">
      <w:pPr>
        <w:rPr>
          <w:b/>
        </w:rPr>
      </w:pPr>
    </w:p>
    <w:p w14:paraId="051C1222" w14:textId="7C7CE909" w:rsidR="00C64811" w:rsidRDefault="00364B8B" w:rsidP="00C64811">
      <w:r>
        <w:t xml:space="preserve">Obecnie podstawowym narzędziem wykorzystywanym w procesie sprzedaży biletów jest kasa biletowa, w której można kupić bilety na połączenia wszystkich przewoźników kolejowych. Należy zaznaczyć, że </w:t>
      </w:r>
      <w:r w:rsidR="00F430F0">
        <w:t xml:space="preserve">pociągi Spółki </w:t>
      </w:r>
      <w:r w:rsidR="000D0BB3">
        <w:t xml:space="preserve">codziennie </w:t>
      </w:r>
      <w:r w:rsidR="00F430F0">
        <w:t>zatrzymują</w:t>
      </w:r>
      <w:r>
        <w:t xml:space="preserve"> się na 1900 stacjach i dworcach kolejowych.</w:t>
      </w:r>
      <w:r w:rsidR="00277497">
        <w:t xml:space="preserve"> </w:t>
      </w:r>
      <w:r w:rsidR="00B409C7">
        <w:t xml:space="preserve">Dziś POLREGIO uruchamia </w:t>
      </w:r>
      <w:r>
        <w:t>ok</w:t>
      </w:r>
      <w:r w:rsidR="00892A0C">
        <w:t>.</w:t>
      </w:r>
      <w:r>
        <w:t xml:space="preserve"> 150 </w:t>
      </w:r>
      <w:r w:rsidR="00B409C7">
        <w:t>kas</w:t>
      </w:r>
      <w:r w:rsidR="00A0576E">
        <w:t>, których</w:t>
      </w:r>
      <w:r w:rsidR="005E2089">
        <w:t xml:space="preserve"> kosztochłonność w niektórych przypadkach przekracza nawet 50%. D</w:t>
      </w:r>
      <w:r w:rsidR="00333DE7">
        <w:t>ostępność</w:t>
      </w:r>
      <w:r w:rsidR="005E2089">
        <w:t xml:space="preserve"> tych kas</w:t>
      </w:r>
      <w:r w:rsidR="00333DE7">
        <w:t xml:space="preserve"> </w:t>
      </w:r>
      <w:r>
        <w:t>na</w:t>
      </w:r>
      <w:r w:rsidR="00277497">
        <w:t xml:space="preserve"> dworcach </w:t>
      </w:r>
      <w:proofErr w:type="spellStart"/>
      <w:r w:rsidR="00277497">
        <w:t>premium</w:t>
      </w:r>
      <w:proofErr w:type="spellEnd"/>
      <w:r w:rsidR="00277497">
        <w:t xml:space="preserve"> wynosi średnio </w:t>
      </w:r>
      <w:r>
        <w:t>12 godzin dziennie</w:t>
      </w:r>
      <w:r w:rsidR="00892A0C">
        <w:t>,</w:t>
      </w:r>
      <w:r>
        <w:t xml:space="preserve"> ale już na mniejszych</w:t>
      </w:r>
      <w:r w:rsidR="00A0576E">
        <w:t xml:space="preserve"> dworcach jedynie 7</w:t>
      </w:r>
      <w:r w:rsidR="00333DE7">
        <w:t xml:space="preserve"> godzin.</w:t>
      </w:r>
      <w:r w:rsidR="00277497">
        <w:t xml:space="preserve"> W celu </w:t>
      </w:r>
      <w:r w:rsidR="00C64811">
        <w:t>uzupełnienia dostępno</w:t>
      </w:r>
      <w:r w:rsidR="00D838A4">
        <w:t xml:space="preserve">ści zakupu biletów na dworcach, </w:t>
      </w:r>
      <w:r w:rsidR="00277497">
        <w:t>przy wsparciu zespołu handlowego</w:t>
      </w:r>
      <w:r w:rsidR="00D838A4">
        <w:t>,</w:t>
      </w:r>
      <w:r w:rsidR="00C64811">
        <w:t xml:space="preserve"> </w:t>
      </w:r>
      <w:r w:rsidR="00277497">
        <w:t>przygotowana została koncepcja nowego narzędzia sprzed</w:t>
      </w:r>
      <w:r w:rsidR="00C64811">
        <w:t xml:space="preserve">ażowego. Będzie ono </w:t>
      </w:r>
      <w:r w:rsidR="00277497">
        <w:t xml:space="preserve">posiadało cechy </w:t>
      </w:r>
      <w:r w:rsidR="00C64811">
        <w:t>kasy biletowej, dostępne będzie w godzinach uruchamianych pociągów przez POLREGIO</w:t>
      </w:r>
      <w:r w:rsidR="00892A0C">
        <w:t>,</w:t>
      </w:r>
      <w:r w:rsidR="00C64811">
        <w:t xml:space="preserve"> </w:t>
      </w:r>
      <w:r w:rsidR="00892A0C">
        <w:t>a</w:t>
      </w:r>
      <w:r w:rsidR="00C64811">
        <w:t xml:space="preserve"> jego kosztochłonność będzie jednocyfrowa.</w:t>
      </w:r>
    </w:p>
    <w:p w14:paraId="20F067E3" w14:textId="77777777" w:rsidR="00782463" w:rsidRDefault="00333DE7" w:rsidP="00364B8B">
      <w:r>
        <w:t xml:space="preserve"> </w:t>
      </w:r>
    </w:p>
    <w:p w14:paraId="41CE3885" w14:textId="77777777" w:rsidR="00FA0AD7" w:rsidRPr="00892A0C" w:rsidRDefault="00191021" w:rsidP="00FA0AD7">
      <w:pPr>
        <w:rPr>
          <w:b/>
          <w:bCs/>
        </w:rPr>
      </w:pPr>
      <w:r>
        <w:t>„</w:t>
      </w:r>
      <w:r w:rsidR="00782463">
        <w:rPr>
          <w:i/>
        </w:rPr>
        <w:t xml:space="preserve">Zainspirował nas </w:t>
      </w:r>
      <w:r w:rsidRPr="00191021">
        <w:rPr>
          <w:i/>
        </w:rPr>
        <w:t>tradycyjny biletomat. Gdyby połączyć jego funkcje z funkcjonalnością tradycyjnej kasy biletowej moglibyśmy uzyskać narzędzie, które będzie posiadało oczekiwane funkcjonalności – i tak narodził się pomysł</w:t>
      </w:r>
      <w:r w:rsidR="00F430F0">
        <w:rPr>
          <w:i/>
        </w:rPr>
        <w:t xml:space="preserve"> </w:t>
      </w:r>
      <w:proofErr w:type="spellStart"/>
      <w:r w:rsidR="00F430F0">
        <w:rPr>
          <w:i/>
        </w:rPr>
        <w:t>v</w:t>
      </w:r>
      <w:r w:rsidR="00782463">
        <w:rPr>
          <w:i/>
        </w:rPr>
        <w:t>ideomatu</w:t>
      </w:r>
      <w:proofErr w:type="spellEnd"/>
      <w:r w:rsidR="00FA0AD7">
        <w:rPr>
          <w:i/>
        </w:rPr>
        <w:t xml:space="preserve"> z funkcją e-kasjera  - </w:t>
      </w:r>
      <w:r w:rsidR="00FA0AD7">
        <w:t xml:space="preserve">mówi </w:t>
      </w:r>
      <w:r w:rsidR="00FA0AD7" w:rsidRPr="00892A0C">
        <w:rPr>
          <w:b/>
          <w:bCs/>
        </w:rPr>
        <w:t>Adam Pawlik, Członek Zarządu - Dyrektor Handlowy POLREGIO S.A.</w:t>
      </w:r>
    </w:p>
    <w:p w14:paraId="1F5B23FB" w14:textId="77777777" w:rsidR="00FA0AD7" w:rsidRDefault="00FA0AD7" w:rsidP="00191021">
      <w:pPr>
        <w:rPr>
          <w:i/>
        </w:rPr>
      </w:pPr>
      <w:r>
        <w:rPr>
          <w:i/>
        </w:rPr>
        <w:t xml:space="preserve"> </w:t>
      </w:r>
    </w:p>
    <w:p w14:paraId="0680099C" w14:textId="77777777" w:rsidR="00191021" w:rsidRPr="00FA0AD7" w:rsidRDefault="00E82D94" w:rsidP="00191021">
      <w:r w:rsidRPr="00FA0AD7">
        <w:t>E</w:t>
      </w:r>
      <w:r w:rsidR="00F430F0" w:rsidRPr="00FA0AD7">
        <w:t>-</w:t>
      </w:r>
      <w:r w:rsidR="00782463" w:rsidRPr="00FA0AD7">
        <w:t>kasjer to</w:t>
      </w:r>
      <w:r w:rsidR="00FA0AD7" w:rsidRPr="00FA0AD7">
        <w:t xml:space="preserve"> </w:t>
      </w:r>
      <w:r w:rsidR="00191021" w:rsidRPr="00FA0AD7">
        <w:t>osoba zlokalizo</w:t>
      </w:r>
      <w:r w:rsidR="00E635DF" w:rsidRPr="00FA0AD7">
        <w:t>wana w Call Center, która pomoż</w:t>
      </w:r>
      <w:r w:rsidR="00191021" w:rsidRPr="00FA0AD7">
        <w:t>e klientowi zakupić bilet kolejowy.</w:t>
      </w:r>
    </w:p>
    <w:p w14:paraId="78FD6CB3" w14:textId="77777777" w:rsidR="00FA0AD7" w:rsidRPr="00FA0AD7" w:rsidRDefault="00191021" w:rsidP="00191021">
      <w:r w:rsidRPr="00FA0AD7">
        <w:t>Wystarczy, że pasażer przyciśnie odpowiedni przyc</w:t>
      </w:r>
      <w:r w:rsidR="00F430F0" w:rsidRPr="00FA0AD7">
        <w:t xml:space="preserve">isk na ekranie lub na obudowie </w:t>
      </w:r>
      <w:proofErr w:type="spellStart"/>
      <w:r w:rsidR="00F430F0" w:rsidRPr="00FA0AD7">
        <w:t>v</w:t>
      </w:r>
      <w:r w:rsidRPr="00FA0AD7">
        <w:t>ideomatu</w:t>
      </w:r>
      <w:proofErr w:type="spellEnd"/>
      <w:r w:rsidRPr="00FA0AD7">
        <w:t xml:space="preserve"> i połączy się z Call Center. W kolejnym kroku e-kasjer wybierze zgodnie z oc</w:t>
      </w:r>
      <w:r w:rsidR="00E82D94" w:rsidRPr="00FA0AD7">
        <w:t xml:space="preserve">zekiwaniami klienta </w:t>
      </w:r>
      <w:r w:rsidRPr="00FA0AD7">
        <w:t>ofertę, a klientowi pozostanie jedynie zbliżenie</w:t>
      </w:r>
      <w:r w:rsidR="00E82D94" w:rsidRPr="00FA0AD7">
        <w:t xml:space="preserve"> karty płatniczej do </w:t>
      </w:r>
      <w:r w:rsidRPr="00FA0AD7">
        <w:t>czytnika i odebranie biletu. Dodatkowym atutem takiego rozwiązania j</w:t>
      </w:r>
      <w:r w:rsidR="00F430F0" w:rsidRPr="00FA0AD7">
        <w:t xml:space="preserve">est dostępność usługi w każdym </w:t>
      </w:r>
      <w:proofErr w:type="spellStart"/>
      <w:r w:rsidR="00F430F0" w:rsidRPr="00FA0AD7">
        <w:t>videomacie</w:t>
      </w:r>
      <w:proofErr w:type="spellEnd"/>
      <w:r w:rsidR="00F430F0" w:rsidRPr="00FA0AD7">
        <w:t>, niezależnie od jeg</w:t>
      </w:r>
      <w:r w:rsidRPr="00FA0AD7">
        <w:t>o</w:t>
      </w:r>
      <w:r w:rsidR="00F430F0" w:rsidRPr="00FA0AD7">
        <w:t xml:space="preserve"> lo</w:t>
      </w:r>
      <w:r w:rsidRPr="00FA0AD7">
        <w:t>kalizacji</w:t>
      </w:r>
      <w:r w:rsidR="00F430F0" w:rsidRPr="00FA0AD7">
        <w:t xml:space="preserve">. </w:t>
      </w:r>
    </w:p>
    <w:p w14:paraId="2D4016B9" w14:textId="77777777" w:rsidR="00FA0AD7" w:rsidRDefault="00FA0AD7" w:rsidP="00191021">
      <w:pPr>
        <w:rPr>
          <w:i/>
        </w:rPr>
      </w:pPr>
    </w:p>
    <w:p w14:paraId="0EB48F40" w14:textId="5DF754B1" w:rsidR="00191021" w:rsidRPr="00892A0C" w:rsidRDefault="00FA0AD7" w:rsidP="00191021">
      <w:pPr>
        <w:rPr>
          <w:b/>
          <w:bCs/>
        </w:rPr>
      </w:pPr>
      <w:r>
        <w:rPr>
          <w:i/>
        </w:rPr>
        <w:t>„</w:t>
      </w:r>
      <w:r w:rsidR="00F430F0">
        <w:rPr>
          <w:i/>
        </w:rPr>
        <w:t>F</w:t>
      </w:r>
      <w:r w:rsidR="00191021" w:rsidRPr="00191021">
        <w:rPr>
          <w:i/>
        </w:rPr>
        <w:t>unkcja e-kasjera będzie dostępna w godzinach od 6:00 do 22:00</w:t>
      </w:r>
      <w:r w:rsidR="00E82D94">
        <w:rPr>
          <w:i/>
        </w:rPr>
        <w:t>,</w:t>
      </w:r>
      <w:r w:rsidR="00F430F0">
        <w:rPr>
          <w:i/>
        </w:rPr>
        <w:t xml:space="preserve"> </w:t>
      </w:r>
      <w:r w:rsidR="00892A0C">
        <w:rPr>
          <w:i/>
        </w:rPr>
        <w:t>czyli</w:t>
      </w:r>
      <w:r w:rsidR="00F430F0">
        <w:rPr>
          <w:i/>
        </w:rPr>
        <w:t xml:space="preserve"> aż 16 godzin.</w:t>
      </w:r>
      <w:r w:rsidR="00191021" w:rsidRPr="00191021">
        <w:rPr>
          <w:i/>
        </w:rPr>
        <w:t xml:space="preserve"> Zakładamy, że ta dodatkowa funkcjonalność będzie stanowiła zachętę do zakupu biletu dla osób, które do tej pory nie były przekonane do korzystania z usług tradycyjnego biletomatu</w:t>
      </w:r>
      <w:r w:rsidR="00F430F0">
        <w:rPr>
          <w:i/>
        </w:rPr>
        <w:t xml:space="preserve">. </w:t>
      </w:r>
      <w:r w:rsidR="00F430F0" w:rsidRPr="00F430F0">
        <w:rPr>
          <w:i/>
        </w:rPr>
        <w:t>Postanowiliśmy, że zrealizujemy ten pomysł w formie projektu pilotażowego</w:t>
      </w:r>
      <w:r w:rsidR="00E82D94">
        <w:rPr>
          <w:i/>
        </w:rPr>
        <w:t>,</w:t>
      </w:r>
      <w:r w:rsidR="00F430F0" w:rsidRPr="00F430F0">
        <w:rPr>
          <w:i/>
        </w:rPr>
        <w:t xml:space="preserve"> a już niebawem </w:t>
      </w:r>
      <w:r w:rsidR="00F430F0" w:rsidRPr="00F430F0">
        <w:rPr>
          <w:i/>
        </w:rPr>
        <w:lastRenderedPageBreak/>
        <w:t>udostępnimy naszym klientom 10 takich urządzeń, które zostaną zainstalowane na większych i mniejszych dworcach w Polsce</w:t>
      </w:r>
      <w:r w:rsidR="00F430F0">
        <w:rPr>
          <w:i/>
        </w:rPr>
        <w:t xml:space="preserve">. </w:t>
      </w:r>
      <w:r w:rsidR="00F430F0" w:rsidRPr="00F430F0">
        <w:rPr>
          <w:i/>
        </w:rPr>
        <w:t>W kolejnych miesiącach będziemy monitorować różnorakie wskaźniki tego projektu</w:t>
      </w:r>
      <w:r w:rsidR="00F430F0">
        <w:t>.</w:t>
      </w:r>
      <w:r w:rsidR="00191021" w:rsidRPr="00191021">
        <w:rPr>
          <w:i/>
        </w:rPr>
        <w:t>”</w:t>
      </w:r>
      <w:r w:rsidR="00191021">
        <w:rPr>
          <w:i/>
        </w:rPr>
        <w:t xml:space="preserve"> </w:t>
      </w:r>
      <w:r>
        <w:rPr>
          <w:i/>
        </w:rPr>
        <w:t>–</w:t>
      </w:r>
      <w:r w:rsidR="00191021">
        <w:rPr>
          <w:i/>
        </w:rPr>
        <w:t xml:space="preserve"> </w:t>
      </w:r>
      <w:r>
        <w:t xml:space="preserve">dodaje </w:t>
      </w:r>
      <w:r w:rsidR="00191021" w:rsidRPr="00892A0C">
        <w:rPr>
          <w:b/>
          <w:bCs/>
        </w:rPr>
        <w:t>Adam Pawlik, Członek Zarzą</w:t>
      </w:r>
      <w:r w:rsidR="00E82D94" w:rsidRPr="00892A0C">
        <w:rPr>
          <w:b/>
          <w:bCs/>
        </w:rPr>
        <w:t>du - Dyrektor Handlowy POLREGIO S.A.</w:t>
      </w:r>
    </w:p>
    <w:p w14:paraId="3FE84E23" w14:textId="77777777" w:rsidR="00F430F0" w:rsidRDefault="00F430F0" w:rsidP="00191021"/>
    <w:p w14:paraId="4E0A5DEB" w14:textId="7478E6F2" w:rsidR="00F430F0" w:rsidRDefault="00F430F0" w:rsidP="00F430F0">
      <w:proofErr w:type="spellStart"/>
      <w:r>
        <w:t>Videomaty</w:t>
      </w:r>
      <w:proofErr w:type="spellEnd"/>
      <w:r>
        <w:t xml:space="preserve"> są efektem wielomiesięcznej współpracy między </w:t>
      </w:r>
      <w:r w:rsidR="00E82D94">
        <w:t>firmami POLREGIO</w:t>
      </w:r>
      <w:r>
        <w:t xml:space="preserve">, Netią i </w:t>
      </w:r>
      <w:proofErr w:type="spellStart"/>
      <w:r>
        <w:t>Avista</w:t>
      </w:r>
      <w:proofErr w:type="spellEnd"/>
      <w:r>
        <w:t>, dla których zarówno sprawna obsługa pasażera</w:t>
      </w:r>
      <w:r w:rsidR="00892A0C">
        <w:t>,</w:t>
      </w:r>
      <w:r>
        <w:t xml:space="preserve"> jak i elektroniczna sprzedaż usług są priorytetem. </w:t>
      </w:r>
    </w:p>
    <w:p w14:paraId="7EC1EBF7" w14:textId="77777777" w:rsidR="00364B8B" w:rsidRDefault="00364B8B"/>
    <w:p w14:paraId="6D9CC76F" w14:textId="3569FF26" w:rsidR="009D1266" w:rsidRPr="009D1266" w:rsidRDefault="009D1266" w:rsidP="009D1266">
      <w:pPr>
        <w:widowControl/>
        <w:shd w:val="clear" w:color="auto" w:fill="FFFFFF"/>
        <w:spacing w:line="280" w:lineRule="atLeast"/>
        <w:rPr>
          <w:rFonts w:ascii="Arial" w:eastAsia="Times New Roman" w:hAnsi="Arial" w:cs="Arial"/>
          <w:color w:val="222222"/>
        </w:rPr>
      </w:pPr>
      <w:r w:rsidRPr="009D1266">
        <w:rPr>
          <w:rFonts w:eastAsia="Times New Roman"/>
          <w:i/>
          <w:iCs/>
          <w:color w:val="222222"/>
        </w:rPr>
        <w:t xml:space="preserve">- Grupa Netia ma bardzo duże doświadczenie w zakresie wsparcia podróżnych. Jestem przekonana, że nasi konsultanci, którzy od wielu lat realizują na najwyższym poziomie usługi Netia </w:t>
      </w:r>
      <w:proofErr w:type="spellStart"/>
      <w:r w:rsidRPr="009D1266">
        <w:rPr>
          <w:rFonts w:eastAsia="Times New Roman"/>
          <w:i/>
          <w:iCs/>
          <w:color w:val="222222"/>
        </w:rPr>
        <w:t>Customer</w:t>
      </w:r>
      <w:proofErr w:type="spellEnd"/>
      <w:r w:rsidRPr="009D1266">
        <w:rPr>
          <w:rFonts w:eastAsia="Times New Roman"/>
          <w:i/>
          <w:iCs/>
          <w:color w:val="222222"/>
        </w:rPr>
        <w:t xml:space="preserve"> Service na rzecz największych przewoźników kolejowych, doskonale sprawdzą się również jako asystenci klientów w procesie wsparcia zakupu biletów w </w:t>
      </w:r>
      <w:proofErr w:type="spellStart"/>
      <w:r w:rsidR="00F92B6C">
        <w:rPr>
          <w:rFonts w:eastAsia="Times New Roman"/>
          <w:i/>
          <w:iCs/>
          <w:color w:val="222222"/>
        </w:rPr>
        <w:t>v</w:t>
      </w:r>
      <w:r w:rsidRPr="009D1266">
        <w:rPr>
          <w:rFonts w:eastAsia="Times New Roman"/>
          <w:i/>
          <w:iCs/>
          <w:color w:val="222222"/>
        </w:rPr>
        <w:t>ideomatach</w:t>
      </w:r>
      <w:proofErr w:type="spellEnd"/>
      <w:r w:rsidRPr="009D1266">
        <w:rPr>
          <w:rFonts w:eastAsia="Times New Roman"/>
          <w:i/>
          <w:iCs/>
          <w:color w:val="222222"/>
        </w:rPr>
        <w:t xml:space="preserve">   </w:t>
      </w:r>
      <w:r w:rsidRPr="009D1266">
        <w:rPr>
          <w:rFonts w:eastAsia="Times New Roman"/>
          <w:color w:val="222222"/>
        </w:rPr>
        <w:t>– mówi </w:t>
      </w:r>
      <w:r w:rsidRPr="009D1266">
        <w:rPr>
          <w:rFonts w:eastAsia="Times New Roman"/>
          <w:b/>
          <w:bCs/>
          <w:color w:val="222222"/>
        </w:rPr>
        <w:t>Jolanta Lorenc, Dyrektor w Obszarze B2B Grupy Netia.</w:t>
      </w:r>
      <w:r w:rsidR="00F92B6C">
        <w:rPr>
          <w:rFonts w:ascii="Arial" w:eastAsia="Times New Roman" w:hAnsi="Arial" w:cs="Arial"/>
          <w:color w:val="222222"/>
        </w:rPr>
        <w:t xml:space="preserve"> </w:t>
      </w:r>
      <w:r w:rsidRPr="009D1266">
        <w:rPr>
          <w:rFonts w:eastAsia="Times New Roman"/>
          <w:color w:val="222222"/>
        </w:rPr>
        <w:t>- </w:t>
      </w:r>
      <w:r w:rsidRPr="009D1266">
        <w:rPr>
          <w:rFonts w:eastAsia="Times New Roman"/>
          <w:i/>
          <w:iCs/>
          <w:color w:val="222222"/>
        </w:rPr>
        <w:t>Współpracujemy z POLREGIO od wielu lat w szerokim spektrum rozwiązań i mamy w tym zakresie bardzo dobre doświadczenia. Jest to firma otwarta na wdrażanie innowacji technologicznych, czego kolejnym przykładem jest nasze wspólne pilotażowe wdrożenie, które już teraz wzbudza duże zainteresowanie innych przewoźników</w:t>
      </w:r>
      <w:r w:rsidRPr="009D1266">
        <w:rPr>
          <w:rFonts w:eastAsia="Times New Roman"/>
          <w:color w:val="222222"/>
        </w:rPr>
        <w:t> – dodaje</w:t>
      </w:r>
      <w:r w:rsidRPr="009D1266">
        <w:rPr>
          <w:rFonts w:eastAsia="Times New Roman"/>
          <w:b/>
          <w:bCs/>
          <w:color w:val="222222"/>
        </w:rPr>
        <w:t> Jolanta Lorenc.</w:t>
      </w:r>
    </w:p>
    <w:p w14:paraId="329BCEA8" w14:textId="77777777" w:rsidR="00AE3262" w:rsidRDefault="00AE3262"/>
    <w:p w14:paraId="1E53DB13" w14:textId="4B6A959C" w:rsidR="00AE3262" w:rsidRDefault="00000000">
      <w:sdt>
        <w:sdtPr>
          <w:tag w:val="goog_rdk_2"/>
          <w:id w:val="-849951692"/>
          <w:showingPlcHdr/>
        </w:sdtPr>
        <w:sdtContent>
          <w:r w:rsidR="00F92B6C">
            <w:t xml:space="preserve">     </w:t>
          </w:r>
        </w:sdtContent>
      </w:sdt>
    </w:p>
    <w:p w14:paraId="12082BCA" w14:textId="77777777" w:rsidR="00A8228E" w:rsidRPr="00892A0C" w:rsidRDefault="00000000">
      <w:pPr>
        <w:rPr>
          <w:rFonts w:asciiTheme="minorHAnsi" w:hAnsiTheme="minorHAnsi" w:cstheme="minorHAnsi"/>
          <w:b/>
          <w:bCs/>
        </w:rPr>
      </w:pPr>
      <w:sdt>
        <w:sdtPr>
          <w:tag w:val="goog_rdk_3"/>
          <w:id w:val="-1706248278"/>
        </w:sdtPr>
        <w:sdtContent/>
      </w:sdt>
      <w:r w:rsidR="00A8228E" w:rsidRPr="00A8228E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- Proces projektowania rozwiązania w zakresie oprogramowania oraz samego urządzenia był złożony, na każdym etapie chcieliśmy sprostać oczekiwaniom pasażerów oraz POLREGIO. Jestem przekonany, że możemy być dumni z końcowego efektu. Wdrażamy produkt, który z całą pewnością ułatwi proces zakupu biletów–</w:t>
      </w:r>
      <w:r w:rsidR="00A8228E" w:rsidRPr="00A8228E">
        <w:rPr>
          <w:rFonts w:asciiTheme="minorHAnsi" w:hAnsiTheme="minorHAnsi" w:cstheme="minorHAnsi"/>
          <w:color w:val="222222"/>
          <w:shd w:val="clear" w:color="auto" w:fill="FFFFFF"/>
        </w:rPr>
        <w:t xml:space="preserve"> podkreśla </w:t>
      </w:r>
      <w:r w:rsidR="00A8228E" w:rsidRPr="00892A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Sebastian Borowski – Prezes Zarządu </w:t>
      </w:r>
      <w:proofErr w:type="spellStart"/>
      <w:r w:rsidR="00A8228E" w:rsidRPr="00892A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Avista</w:t>
      </w:r>
      <w:proofErr w:type="spellEnd"/>
      <w:r w:rsidR="00A8228E" w:rsidRPr="00892A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Sp. z </w:t>
      </w:r>
      <w:proofErr w:type="spellStart"/>
      <w:r w:rsidR="00A8228E" w:rsidRPr="00892A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o.o</w:t>
      </w:r>
      <w:proofErr w:type="spellEnd"/>
    </w:p>
    <w:p w14:paraId="5E84AD96" w14:textId="77777777" w:rsidR="00A8228E" w:rsidRDefault="00A8228E"/>
    <w:p w14:paraId="23043F17" w14:textId="77777777" w:rsidR="00AE3262" w:rsidRDefault="00AE3262"/>
    <w:p w14:paraId="74F528E6" w14:textId="42272388" w:rsidR="00AE3262" w:rsidRDefault="0096560B">
      <w:r>
        <w:t xml:space="preserve">Pierwsze </w:t>
      </w:r>
      <w:proofErr w:type="spellStart"/>
      <w:r w:rsidR="00F92B6C">
        <w:t>v</w:t>
      </w:r>
      <w:r>
        <w:t>ideomaty</w:t>
      </w:r>
      <w:proofErr w:type="spellEnd"/>
      <w:r w:rsidR="00ED7018">
        <w:t xml:space="preserve"> będą dostępne w ramach pilotażu</w:t>
      </w:r>
      <w:r w:rsidR="00F92B6C">
        <w:t>,</w:t>
      </w:r>
      <w:r w:rsidR="00ED7018">
        <w:t xml:space="preserve"> między innymi w</w:t>
      </w:r>
      <w:r w:rsidR="00F92B6C">
        <w:t>:</w:t>
      </w:r>
      <w:r w:rsidR="00ED7018">
        <w:t xml:space="preserve"> Krakowie, Zielonej</w:t>
      </w:r>
      <w:r>
        <w:t xml:space="preserve"> </w:t>
      </w:r>
      <w:r w:rsidR="00ED7018">
        <w:t>Górze</w:t>
      </w:r>
      <w:r>
        <w:t>,</w:t>
      </w:r>
      <w:r w:rsidR="00ED7018">
        <w:t xml:space="preserve"> </w:t>
      </w:r>
      <w:r>
        <w:t>Jarosław</w:t>
      </w:r>
      <w:r w:rsidR="00ED7018">
        <w:t xml:space="preserve">iu, Poznaniu, Łodzi, Świnoujściu, Szczecinie oraz Opolu. </w:t>
      </w:r>
      <w:r>
        <w:t>W nadchodz</w:t>
      </w:r>
      <w:r w:rsidR="00ED7018">
        <w:t>ący</w:t>
      </w:r>
      <w:r w:rsidR="005B16BF">
        <w:t>ch tygodniach</w:t>
      </w:r>
      <w:r w:rsidR="00ED7018">
        <w:t xml:space="preserve"> firma POLREGIO zaplanowała kampanię reklamową pod hasłem „Do kolejki bez kolejki” oraz szereg eventów na dworcach</w:t>
      </w:r>
      <w:r w:rsidR="00892A0C">
        <w:t>,</w:t>
      </w:r>
      <w:r w:rsidR="00ED7018">
        <w:t xml:space="preserve"> zachęcających do skorzystania z </w:t>
      </w:r>
      <w:proofErr w:type="spellStart"/>
      <w:r w:rsidR="00ED7018">
        <w:t>videomatów</w:t>
      </w:r>
      <w:proofErr w:type="spellEnd"/>
      <w:r w:rsidR="00ED7018">
        <w:t xml:space="preserve">. </w:t>
      </w:r>
    </w:p>
    <w:p w14:paraId="7C2EEDB2" w14:textId="77777777" w:rsidR="00AE3262" w:rsidRDefault="00AE3262"/>
    <w:p w14:paraId="2F61C678" w14:textId="77777777" w:rsidR="00AE3262" w:rsidRDefault="00AE3262">
      <w:pPr>
        <w:jc w:val="center"/>
      </w:pPr>
    </w:p>
    <w:p w14:paraId="5507A65C" w14:textId="77777777" w:rsidR="00AE3262" w:rsidRDefault="0096560B">
      <w:pPr>
        <w:jc w:val="center"/>
      </w:pPr>
      <w:r>
        <w:t>***</w:t>
      </w:r>
    </w:p>
    <w:p w14:paraId="2185FD2D" w14:textId="1333FA02" w:rsidR="00AE3262" w:rsidRDefault="0096560B">
      <w:r>
        <w:t>POLREGIO</w:t>
      </w:r>
      <w:r w:rsidR="00826E22">
        <w:t xml:space="preserve"> </w:t>
      </w:r>
      <w:r>
        <w:t>S</w:t>
      </w:r>
      <w:r w:rsidR="00F54FED">
        <w:t>.</w:t>
      </w:r>
      <w:r>
        <w:t>A</w:t>
      </w:r>
      <w:r w:rsidR="00F54FED">
        <w:t>.</w:t>
      </w:r>
      <w:r>
        <w:t xml:space="preserve"> to największy pasażerski przewoźnik w Polsce, z 26% udziałem w rynku. Każdego dnia na tory w całym kraju wyjeżdża około 1500 pociągów zamawianych przez urzędy marszałkowskie, które zatrzymują się na ponad 1900 stacjach. W ciągu roku z usług POLREGIO korzysta blisko 70 mln pasażerów. Większościowym udziałowcem Spółki jest Agencja Rozwoju Przemysłu S.A. (50% i jeden udział), a pozostałymi udziałowcami są samorządy wojewódzkie.</w:t>
      </w:r>
    </w:p>
    <w:p w14:paraId="1B5C3421" w14:textId="3B488498" w:rsidR="00892A0C" w:rsidRDefault="00892A0C"/>
    <w:p w14:paraId="6813944E" w14:textId="522D736A" w:rsidR="00892A0C" w:rsidRDefault="00892A0C"/>
    <w:p w14:paraId="71A15FFA" w14:textId="77777777" w:rsidR="00892A0C" w:rsidRDefault="00892A0C"/>
    <w:p w14:paraId="3345C823" w14:textId="77777777" w:rsidR="00892A0C" w:rsidRDefault="00892A0C"/>
    <w:p w14:paraId="34B185BF" w14:textId="56EBE890" w:rsidR="00892A0C" w:rsidRDefault="00892A0C">
      <w:r>
        <w:t>Kontakt:</w:t>
      </w:r>
    </w:p>
    <w:p w14:paraId="735A66D0" w14:textId="6E2721EF" w:rsidR="00892A0C" w:rsidRDefault="00892A0C"/>
    <w:p w14:paraId="6E4DCF13" w14:textId="0F1E6512" w:rsidR="00892A0C" w:rsidRDefault="00892A0C">
      <w:r>
        <w:t>premiera@polregio.pl</w:t>
      </w:r>
    </w:p>
    <w:p w14:paraId="7EAF15BC" w14:textId="1DE1DBBD" w:rsidR="00892A0C" w:rsidRDefault="00892A0C"/>
    <w:p w14:paraId="7CB7A0AC" w14:textId="75D591BC" w:rsidR="00892A0C" w:rsidRDefault="00892A0C">
      <w:r>
        <w:t>Tel. 575 835 874</w:t>
      </w:r>
    </w:p>
    <w:sectPr w:rsidR="00892A0C">
      <w:footerReference w:type="default" r:id="rId7"/>
      <w:headerReference w:type="first" r:id="rId8"/>
      <w:footerReference w:type="first" r:id="rId9"/>
      <w:pgSz w:w="11910" w:h="16840"/>
      <w:pgMar w:top="992" w:right="1418" w:bottom="1985" w:left="1418" w:header="680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67D5" w14:textId="77777777" w:rsidR="00623CD3" w:rsidRDefault="00623CD3">
      <w:pPr>
        <w:spacing w:line="240" w:lineRule="auto"/>
      </w:pPr>
      <w:r>
        <w:separator/>
      </w:r>
    </w:p>
  </w:endnote>
  <w:endnote w:type="continuationSeparator" w:id="0">
    <w:p w14:paraId="3EE1F7DD" w14:textId="77777777" w:rsidR="00623CD3" w:rsidRDefault="00623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9DB" w14:textId="77777777" w:rsidR="00AE3262" w:rsidRDefault="009656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D918667" wp14:editId="12DDF3D0">
          <wp:simplePos x="0" y="0"/>
          <wp:positionH relativeFrom="column">
            <wp:posOffset>-1249679</wp:posOffset>
          </wp:positionH>
          <wp:positionV relativeFrom="paragraph">
            <wp:posOffset>-694054</wp:posOffset>
          </wp:positionV>
          <wp:extent cx="5044440" cy="987535"/>
          <wp:effectExtent l="0" t="0" r="0" b="0"/>
          <wp:wrapNone/>
          <wp:docPr id="66" name="image2.png" descr="Obraz zawierający tekst, sprzęt elektron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sprzęt elektroniczny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4440" cy="98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DF3698" wp14:editId="793E62B8">
              <wp:simplePos x="0" y="0"/>
              <wp:positionH relativeFrom="column">
                <wp:posOffset>4127500</wp:posOffset>
              </wp:positionH>
              <wp:positionV relativeFrom="paragraph">
                <wp:posOffset>10020300</wp:posOffset>
              </wp:positionV>
              <wp:extent cx="3181985" cy="372110"/>
              <wp:effectExtent l="0" t="0" r="0" b="0"/>
              <wp:wrapNone/>
              <wp:docPr id="61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770" y="3598708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6E991" w14:textId="77777777" w:rsidR="00AE3262" w:rsidRDefault="0096560B">
                          <w:pPr>
                            <w:spacing w:before="20" w:line="180" w:lineRule="auto"/>
                            <w:ind w:right="17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KRS: 0000929422</w:t>
                          </w:r>
                        </w:p>
                        <w:p w14:paraId="4F4B2356" w14:textId="77777777" w:rsidR="00AE3262" w:rsidRDefault="0096560B">
                          <w:pPr>
                            <w:spacing w:before="8" w:line="18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Sąd Rejonowy dla m.st. Warszawy</w:t>
                          </w:r>
                        </w:p>
                        <w:p w14:paraId="109774E9" w14:textId="77777777" w:rsidR="00AE3262" w:rsidRDefault="0096560B">
                          <w:pPr>
                            <w:spacing w:before="8" w:line="180" w:lineRule="auto"/>
                            <w:ind w:left="20" w:right="17" w:firstLine="2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XIII   Wydział Gospodarczy Krajowego Rejestru Sądowego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F3698" id="Prostokąt 61" o:spid="_x0000_s1026" style="position:absolute;left:0;text-align:left;margin-left:325pt;margin-top:789pt;width:250.55pt;height: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" filled="f" stroked="f">
              <v:textbox inset="0,0,0,0">
                <w:txbxContent>
                  <w:p w14:paraId="0656E991" w14:textId="77777777" w:rsidR="00AE3262" w:rsidRDefault="0096560B">
                    <w:pPr>
                      <w:spacing w:before="20" w:line="180" w:lineRule="auto"/>
                      <w:ind w:right="17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KRS: 0000929422</w:t>
                    </w:r>
                  </w:p>
                  <w:p w14:paraId="4F4B2356" w14:textId="77777777" w:rsidR="00AE3262" w:rsidRDefault="0096560B">
                    <w:pPr>
                      <w:spacing w:before="8" w:line="180" w:lineRule="auto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Sąd Rejonowy dla m.st. Warszawy</w:t>
                    </w:r>
                  </w:p>
                  <w:p w14:paraId="109774E9" w14:textId="77777777" w:rsidR="00AE3262" w:rsidRDefault="0096560B">
                    <w:pPr>
                      <w:spacing w:before="8" w:line="180" w:lineRule="auto"/>
                      <w:ind w:left="20" w:right="17" w:firstLine="20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XIII   Wydział Gospodarczy Krajowego Rejestru Sądowego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95E368F" wp14:editId="5E6006C1">
              <wp:simplePos x="0" y="0"/>
              <wp:positionH relativeFrom="column">
                <wp:posOffset>4114800</wp:posOffset>
              </wp:positionH>
              <wp:positionV relativeFrom="paragraph">
                <wp:posOffset>9601200</wp:posOffset>
              </wp:positionV>
              <wp:extent cx="2333625" cy="372110"/>
              <wp:effectExtent l="0" t="0" r="0" b="0"/>
              <wp:wrapNone/>
              <wp:docPr id="60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3950" y="3598708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3BF28" w14:textId="77777777" w:rsidR="00AE3262" w:rsidRDefault="0096560B">
                          <w:pPr>
                            <w:spacing w:before="20" w:line="18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NIP: 526 25 57 278, REGON 017319719</w:t>
                          </w:r>
                        </w:p>
                        <w:p w14:paraId="49695A3E" w14:textId="77777777" w:rsidR="00AE3262" w:rsidRDefault="0096560B">
                          <w:pPr>
                            <w:spacing w:before="8" w:line="18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Kapitał zakładowy: 616 242 600,00 PLN wpłacony w całości.</w:t>
                          </w:r>
                        </w:p>
                        <w:p w14:paraId="69B7C7F9" w14:textId="77777777" w:rsidR="00AE3262" w:rsidRDefault="0096560B">
                          <w:pPr>
                            <w:spacing w:before="8" w:line="18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color w:val="FF0000"/>
                              <w:sz w:val="14"/>
                              <w:u w:val="single"/>
                            </w:rPr>
                            <w:t>www.polregio.pl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5E368F" id="Prostokąt 60" o:spid="_x0000_s1027" style="position:absolute;left:0;text-align:left;margin-left:324pt;margin-top:756pt;width:183.75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" filled="f" stroked="f">
              <v:textbox inset="0,0,0,0">
                <w:txbxContent>
                  <w:p w14:paraId="6F23BF28" w14:textId="77777777" w:rsidR="00AE3262" w:rsidRDefault="0096560B">
                    <w:pPr>
                      <w:spacing w:before="20" w:line="180" w:lineRule="auto"/>
                      <w:ind w:left="22" w:firstLine="22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NIP: 526 25 57 278, REGON 017319719</w:t>
                    </w:r>
                  </w:p>
                  <w:p w14:paraId="49695A3E" w14:textId="77777777" w:rsidR="00AE3262" w:rsidRDefault="0096560B">
                    <w:pPr>
                      <w:spacing w:before="8" w:line="180" w:lineRule="auto"/>
                      <w:ind w:left="22" w:firstLine="22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Kapitał zakładowy: 616 242 600,00 PLN wpłacony w całości.</w:t>
                    </w:r>
                  </w:p>
                  <w:p w14:paraId="69B7C7F9" w14:textId="77777777" w:rsidR="00AE3262" w:rsidRDefault="0096560B">
                    <w:pPr>
                      <w:spacing w:before="8" w:line="180" w:lineRule="auto"/>
                      <w:ind w:left="22" w:firstLine="22"/>
                      <w:textDirection w:val="btLr"/>
                    </w:pPr>
                    <w:r>
                      <w:rPr>
                        <w:color w:val="FF0000"/>
                        <w:sz w:val="14"/>
                        <w:u w:val="single"/>
                      </w:rPr>
                      <w:t>www.polregio.pl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7BE" w14:textId="77777777" w:rsidR="00AE3262" w:rsidRDefault="009656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223A61C4" wp14:editId="34C558F9">
          <wp:simplePos x="0" y="0"/>
          <wp:positionH relativeFrom="column">
            <wp:posOffset>-1120774</wp:posOffset>
          </wp:positionH>
          <wp:positionV relativeFrom="paragraph">
            <wp:posOffset>-531494</wp:posOffset>
          </wp:positionV>
          <wp:extent cx="5044440" cy="987535"/>
          <wp:effectExtent l="0" t="0" r="0" b="0"/>
          <wp:wrapNone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4440" cy="98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1F307D9" wp14:editId="3380DCEF">
              <wp:simplePos x="0" y="0"/>
              <wp:positionH relativeFrom="column">
                <wp:posOffset>4267200</wp:posOffset>
              </wp:positionH>
              <wp:positionV relativeFrom="paragraph">
                <wp:posOffset>10007600</wp:posOffset>
              </wp:positionV>
              <wp:extent cx="3181985" cy="372110"/>
              <wp:effectExtent l="0" t="0" r="0" b="0"/>
              <wp:wrapNone/>
              <wp:docPr id="62" name="Prostokąt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770" y="3598708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219E3" w14:textId="77777777" w:rsidR="00AE3262" w:rsidRDefault="0096560B">
                          <w:pPr>
                            <w:spacing w:before="20" w:line="180" w:lineRule="auto"/>
                            <w:ind w:right="17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KRS: 0000929422</w:t>
                          </w:r>
                        </w:p>
                        <w:p w14:paraId="17A7EC7D" w14:textId="77777777" w:rsidR="00AE3262" w:rsidRDefault="0096560B">
                          <w:pPr>
                            <w:spacing w:before="8" w:line="18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Sąd Rejonowy dla m.st. Warszawy</w:t>
                          </w:r>
                        </w:p>
                        <w:p w14:paraId="202834C7" w14:textId="77777777" w:rsidR="00AE3262" w:rsidRDefault="0096560B">
                          <w:pPr>
                            <w:spacing w:before="8" w:line="180" w:lineRule="auto"/>
                            <w:ind w:left="20" w:right="17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XIII   Wydział Gospodarczy Krajowego Rejestru Sądowego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F307D9" id="Prostokąt 62" o:spid="_x0000_s1028" style="position:absolute;left:0;text-align:left;margin-left:336pt;margin-top:788pt;width:250.55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" filled="f" stroked="f">
              <v:textbox inset="0,0,0,0">
                <w:txbxContent>
                  <w:p w14:paraId="1C0219E3" w14:textId="77777777" w:rsidR="00AE3262" w:rsidRDefault="0096560B">
                    <w:pPr>
                      <w:spacing w:before="20" w:line="180" w:lineRule="auto"/>
                      <w:ind w:right="17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KRS: 0000929422</w:t>
                    </w:r>
                  </w:p>
                  <w:p w14:paraId="17A7EC7D" w14:textId="77777777" w:rsidR="00AE3262" w:rsidRDefault="0096560B">
                    <w:pPr>
                      <w:spacing w:before="8" w:line="180" w:lineRule="auto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Sąd Rejonowy dla m.st. Warszawy</w:t>
                    </w:r>
                  </w:p>
                  <w:p w14:paraId="202834C7" w14:textId="77777777" w:rsidR="00AE3262" w:rsidRDefault="0096560B">
                    <w:pPr>
                      <w:spacing w:before="8" w:line="180" w:lineRule="auto"/>
                      <w:ind w:left="20" w:right="17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XIII   Wydział Gospodarczy Krajowego Rejestru Sądowego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1A89324" wp14:editId="6B21AF81">
              <wp:simplePos x="0" y="0"/>
              <wp:positionH relativeFrom="column">
                <wp:posOffset>4241800</wp:posOffset>
              </wp:positionH>
              <wp:positionV relativeFrom="paragraph">
                <wp:posOffset>9588500</wp:posOffset>
              </wp:positionV>
              <wp:extent cx="2333625" cy="372110"/>
              <wp:effectExtent l="0" t="0" r="0" b="0"/>
              <wp:wrapNone/>
              <wp:docPr id="63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3950" y="3598708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369AD" w14:textId="77777777" w:rsidR="00AE3262" w:rsidRDefault="0096560B">
                          <w:pPr>
                            <w:spacing w:before="20" w:line="180" w:lineRule="auto"/>
                            <w:ind w:left="22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NIP: 526 25 57 278, REGON 017319719</w:t>
                          </w:r>
                        </w:p>
                        <w:p w14:paraId="08E9C4CD" w14:textId="77777777" w:rsidR="00AE3262" w:rsidRDefault="0096560B">
                          <w:pPr>
                            <w:spacing w:before="8" w:line="180" w:lineRule="auto"/>
                            <w:ind w:left="22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Kapitał zakładowy: 616 242 600,00 PLN wpłacony w całości.</w:t>
                          </w:r>
                        </w:p>
                        <w:p w14:paraId="0B2FB3BC" w14:textId="77777777" w:rsidR="00AE3262" w:rsidRDefault="0096560B">
                          <w:pPr>
                            <w:spacing w:before="8" w:line="180" w:lineRule="auto"/>
                            <w:ind w:left="22"/>
                            <w:textDirection w:val="btLr"/>
                          </w:pPr>
                          <w:r>
                            <w:rPr>
                              <w:color w:val="FF0000"/>
                              <w:sz w:val="14"/>
                              <w:u w:val="single"/>
                            </w:rPr>
                            <w:t>www.polregio.pl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A89324" id="Prostokąt 63" o:spid="_x0000_s1029" style="position:absolute;left:0;text-align:left;margin-left:334pt;margin-top:755pt;width:183.75pt;height:2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" filled="f" stroked="f">
              <v:textbox inset="0,0,0,0">
                <w:txbxContent>
                  <w:p w14:paraId="07B369AD" w14:textId="77777777" w:rsidR="00AE3262" w:rsidRDefault="0096560B">
                    <w:pPr>
                      <w:spacing w:before="20" w:line="180" w:lineRule="auto"/>
                      <w:ind w:left="22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NIP: 526 25 57 278, REGON 017319719</w:t>
                    </w:r>
                  </w:p>
                  <w:p w14:paraId="08E9C4CD" w14:textId="77777777" w:rsidR="00AE3262" w:rsidRDefault="0096560B">
                    <w:pPr>
                      <w:spacing w:before="8" w:line="180" w:lineRule="auto"/>
                      <w:ind w:left="22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Kapitał zakładowy: 616 242 600,00 PLN wpłacony w całości.</w:t>
                    </w:r>
                  </w:p>
                  <w:p w14:paraId="0B2FB3BC" w14:textId="77777777" w:rsidR="00AE3262" w:rsidRDefault="0096560B">
                    <w:pPr>
                      <w:spacing w:before="8" w:line="180" w:lineRule="auto"/>
                      <w:ind w:left="22"/>
                      <w:textDirection w:val="btLr"/>
                    </w:pPr>
                    <w:r>
                      <w:rPr>
                        <w:color w:val="FF0000"/>
                        <w:sz w:val="14"/>
                        <w:u w:val="single"/>
                      </w:rPr>
                      <w:t>www.polregio.pl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5F76" w14:textId="77777777" w:rsidR="00623CD3" w:rsidRDefault="00623CD3">
      <w:pPr>
        <w:spacing w:line="240" w:lineRule="auto"/>
      </w:pPr>
      <w:r>
        <w:separator/>
      </w:r>
    </w:p>
  </w:footnote>
  <w:footnote w:type="continuationSeparator" w:id="0">
    <w:p w14:paraId="09CEBEA8" w14:textId="77777777" w:rsidR="00623CD3" w:rsidRDefault="00623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CB0" w14:textId="4F369B70" w:rsidR="00AE3262" w:rsidRDefault="0096560B">
    <w:pPr>
      <w:pBdr>
        <w:top w:val="nil"/>
        <w:left w:val="nil"/>
        <w:bottom w:val="nil"/>
        <w:right w:val="nil"/>
        <w:between w:val="nil"/>
      </w:pBdr>
      <w:tabs>
        <w:tab w:val="left" w:pos="747"/>
      </w:tabs>
      <w:spacing w:before="2" w:line="280" w:lineRule="auto"/>
      <w:rPr>
        <w:rFonts w:ascii="Times New Roman" w:eastAsia="Times New Roman" w:hAnsi="Times New Roman" w:cs="Times New Roman"/>
        <w:color w:val="000000"/>
        <w:sz w:val="23"/>
        <w:szCs w:val="23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4F00F27" wp14:editId="28821A5E">
          <wp:simplePos x="0" y="0"/>
          <wp:positionH relativeFrom="column">
            <wp:posOffset>2190750</wp:posOffset>
          </wp:positionH>
          <wp:positionV relativeFrom="paragraph">
            <wp:posOffset>-354964</wp:posOffset>
          </wp:positionV>
          <wp:extent cx="1492885" cy="1619885"/>
          <wp:effectExtent l="0" t="0" r="0" b="0"/>
          <wp:wrapNone/>
          <wp:docPr id="6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885" cy="161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3566B9" w14:textId="77777777" w:rsidR="00AE3262" w:rsidRDefault="00AE3262">
    <w:pPr>
      <w:pBdr>
        <w:top w:val="nil"/>
        <w:left w:val="nil"/>
        <w:bottom w:val="nil"/>
        <w:right w:val="nil"/>
        <w:between w:val="nil"/>
      </w:pBdr>
      <w:tabs>
        <w:tab w:val="left" w:pos="747"/>
      </w:tabs>
      <w:spacing w:before="2" w:line="280" w:lineRule="auto"/>
      <w:rPr>
        <w:rFonts w:ascii="Times New Roman" w:eastAsia="Times New Roman" w:hAnsi="Times New Roman" w:cs="Times New Roman"/>
        <w:color w:val="000000"/>
        <w:sz w:val="23"/>
        <w:szCs w:val="23"/>
      </w:rPr>
    </w:pPr>
  </w:p>
  <w:tbl>
    <w:tblPr>
      <w:tblStyle w:val="a"/>
      <w:tblW w:w="9259" w:type="dxa"/>
      <w:tblInd w:w="1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77"/>
      <w:gridCol w:w="2268"/>
      <w:gridCol w:w="3314"/>
    </w:tblGrid>
    <w:tr w:rsidR="00AE3262" w14:paraId="693BF7AE" w14:textId="77777777">
      <w:tc>
        <w:tcPr>
          <w:tcW w:w="3677" w:type="dxa"/>
          <w:vMerge w:val="restart"/>
        </w:tcPr>
        <w:p w14:paraId="18B2962F" w14:textId="77777777" w:rsidR="00AE3262" w:rsidRDefault="00AE3262">
          <w:pPr>
            <w:spacing w:before="1" w:line="200" w:lineRule="auto"/>
            <w:ind w:left="-117"/>
            <w:rPr>
              <w:color w:val="4C4C4C"/>
              <w:sz w:val="20"/>
              <w:szCs w:val="20"/>
            </w:rPr>
          </w:pPr>
        </w:p>
      </w:tc>
      <w:tc>
        <w:tcPr>
          <w:tcW w:w="2268" w:type="dxa"/>
        </w:tcPr>
        <w:p w14:paraId="16384DC9" w14:textId="77777777" w:rsidR="00AE3262" w:rsidRDefault="00AE3262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 w:val="restart"/>
        </w:tcPr>
        <w:p w14:paraId="090CE127" w14:textId="77777777" w:rsidR="00AE3262" w:rsidRDefault="0096560B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POLREGIO S.A.</w:t>
          </w:r>
        </w:p>
        <w:p w14:paraId="4E26536F" w14:textId="77777777" w:rsidR="00AE3262" w:rsidRDefault="0096560B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ul. Kolejowa 1</w:t>
          </w:r>
        </w:p>
        <w:p w14:paraId="2F5BA0FE" w14:textId="77777777" w:rsidR="00AE3262" w:rsidRDefault="0096560B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01-217  Warszawa</w:t>
          </w:r>
        </w:p>
      </w:tc>
    </w:tr>
    <w:tr w:rsidR="00AE3262" w14:paraId="5DFB46C0" w14:textId="77777777">
      <w:tc>
        <w:tcPr>
          <w:tcW w:w="3677" w:type="dxa"/>
          <w:vMerge/>
        </w:tcPr>
        <w:p w14:paraId="3C99AC06" w14:textId="77777777" w:rsidR="00AE3262" w:rsidRDefault="00AE32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4C4C4C"/>
              <w:sz w:val="20"/>
              <w:szCs w:val="20"/>
            </w:rPr>
          </w:pPr>
        </w:p>
      </w:tc>
      <w:tc>
        <w:tcPr>
          <w:tcW w:w="2268" w:type="dxa"/>
        </w:tcPr>
        <w:p w14:paraId="6E69258A" w14:textId="77777777" w:rsidR="00AE3262" w:rsidRDefault="00AE3262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14:paraId="52D20449" w14:textId="77777777" w:rsidR="00AE3262" w:rsidRDefault="00AE32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  <w:tr w:rsidR="00AE3262" w14:paraId="70677522" w14:textId="77777777">
      <w:tc>
        <w:tcPr>
          <w:tcW w:w="3677" w:type="dxa"/>
          <w:vMerge/>
        </w:tcPr>
        <w:p w14:paraId="0BD6129D" w14:textId="77777777" w:rsidR="00AE3262" w:rsidRDefault="00AE32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  <w:tc>
        <w:tcPr>
          <w:tcW w:w="2268" w:type="dxa"/>
        </w:tcPr>
        <w:p w14:paraId="2E94C2DD" w14:textId="77777777" w:rsidR="00AE3262" w:rsidRDefault="00AE3262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14:paraId="1C046A1C" w14:textId="77777777" w:rsidR="00AE3262" w:rsidRDefault="00AE32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  <w:tr w:rsidR="00AE3262" w14:paraId="5CD7F96C" w14:textId="77777777">
      <w:trPr>
        <w:trHeight w:val="87"/>
      </w:trPr>
      <w:tc>
        <w:tcPr>
          <w:tcW w:w="3677" w:type="dxa"/>
        </w:tcPr>
        <w:p w14:paraId="4C0585B3" w14:textId="77777777" w:rsidR="00AE3262" w:rsidRDefault="00AE3262">
          <w:pPr>
            <w:spacing w:before="1" w:line="200" w:lineRule="auto"/>
            <w:ind w:left="-117"/>
            <w:rPr>
              <w:b/>
              <w:color w:val="3B3B3B"/>
              <w:sz w:val="20"/>
              <w:szCs w:val="20"/>
            </w:rPr>
          </w:pPr>
        </w:p>
      </w:tc>
      <w:tc>
        <w:tcPr>
          <w:tcW w:w="2268" w:type="dxa"/>
        </w:tcPr>
        <w:p w14:paraId="0AE6F0AF" w14:textId="77777777" w:rsidR="00AE3262" w:rsidRDefault="00AE3262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14:paraId="58AC1615" w14:textId="77777777" w:rsidR="00AE3262" w:rsidRDefault="00AE32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</w:tbl>
  <w:p w14:paraId="64887D3F" w14:textId="77777777" w:rsidR="00AE3262" w:rsidRDefault="00AE32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rPr>
        <w:color w:val="000000"/>
      </w:rPr>
    </w:pPr>
  </w:p>
  <w:p w14:paraId="6339D1FF" w14:textId="4BC7AC0F" w:rsidR="00AE3262" w:rsidRDefault="009656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INFORMACJA PRASOWA                                                                                             Warszawa,  </w:t>
    </w:r>
    <w:r w:rsidR="00892A0C">
      <w:rPr>
        <w:color w:val="000000"/>
        <w:sz w:val="20"/>
        <w:szCs w:val="20"/>
      </w:rPr>
      <w:t xml:space="preserve">12 </w:t>
    </w:r>
    <w:r>
      <w:rPr>
        <w:color w:val="000000"/>
        <w:sz w:val="20"/>
        <w:szCs w:val="20"/>
      </w:rPr>
      <w:t>paździer</w:t>
    </w:r>
    <w:r w:rsidR="00892A0C">
      <w:rPr>
        <w:color w:val="000000"/>
        <w:sz w:val="20"/>
        <w:szCs w:val="20"/>
      </w:rPr>
      <w:t>ni</w:t>
    </w:r>
    <w:r>
      <w:rPr>
        <w:color w:val="000000"/>
        <w:sz w:val="20"/>
        <w:szCs w:val="20"/>
      </w:rPr>
      <w:t>ka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62"/>
    <w:rsid w:val="000206FD"/>
    <w:rsid w:val="000D0BB3"/>
    <w:rsid w:val="000D4474"/>
    <w:rsid w:val="001238DB"/>
    <w:rsid w:val="00136EA2"/>
    <w:rsid w:val="00171D9E"/>
    <w:rsid w:val="00191021"/>
    <w:rsid w:val="001B2916"/>
    <w:rsid w:val="001C7642"/>
    <w:rsid w:val="00204478"/>
    <w:rsid w:val="00224D0E"/>
    <w:rsid w:val="0023059B"/>
    <w:rsid w:val="00277497"/>
    <w:rsid w:val="002B0F55"/>
    <w:rsid w:val="002B164D"/>
    <w:rsid w:val="002B25D0"/>
    <w:rsid w:val="00327F7A"/>
    <w:rsid w:val="00333DE7"/>
    <w:rsid w:val="00364B8B"/>
    <w:rsid w:val="003C5653"/>
    <w:rsid w:val="00403D06"/>
    <w:rsid w:val="004A58DC"/>
    <w:rsid w:val="004E593D"/>
    <w:rsid w:val="005572B8"/>
    <w:rsid w:val="005A498D"/>
    <w:rsid w:val="005B16BF"/>
    <w:rsid w:val="005B4C61"/>
    <w:rsid w:val="005C388F"/>
    <w:rsid w:val="005E2089"/>
    <w:rsid w:val="00623CD3"/>
    <w:rsid w:val="006C280F"/>
    <w:rsid w:val="006E4219"/>
    <w:rsid w:val="007424FA"/>
    <w:rsid w:val="007571AF"/>
    <w:rsid w:val="007605CA"/>
    <w:rsid w:val="00771437"/>
    <w:rsid w:val="00782463"/>
    <w:rsid w:val="007B337D"/>
    <w:rsid w:val="00826E22"/>
    <w:rsid w:val="00845D37"/>
    <w:rsid w:val="00887664"/>
    <w:rsid w:val="00892A0C"/>
    <w:rsid w:val="0096560B"/>
    <w:rsid w:val="009B1567"/>
    <w:rsid w:val="009D1266"/>
    <w:rsid w:val="009D23B3"/>
    <w:rsid w:val="00A0576E"/>
    <w:rsid w:val="00A649D7"/>
    <w:rsid w:val="00A8228E"/>
    <w:rsid w:val="00AA3DBC"/>
    <w:rsid w:val="00AD3A59"/>
    <w:rsid w:val="00AE3262"/>
    <w:rsid w:val="00AE4574"/>
    <w:rsid w:val="00B23D8C"/>
    <w:rsid w:val="00B409C7"/>
    <w:rsid w:val="00BB1663"/>
    <w:rsid w:val="00BE355B"/>
    <w:rsid w:val="00C51EBF"/>
    <w:rsid w:val="00C64811"/>
    <w:rsid w:val="00CF132B"/>
    <w:rsid w:val="00D2449C"/>
    <w:rsid w:val="00D838A4"/>
    <w:rsid w:val="00E1587E"/>
    <w:rsid w:val="00E635DF"/>
    <w:rsid w:val="00E70C80"/>
    <w:rsid w:val="00E7253B"/>
    <w:rsid w:val="00E82D94"/>
    <w:rsid w:val="00ED7018"/>
    <w:rsid w:val="00EF4E48"/>
    <w:rsid w:val="00F430F0"/>
    <w:rsid w:val="00F54B6B"/>
    <w:rsid w:val="00F54FED"/>
    <w:rsid w:val="00F92B6C"/>
    <w:rsid w:val="00FA0AD7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C281"/>
  <w15:docId w15:val="{312D492B-8D1B-4BA1-B47C-3961DEBE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  <w:spacing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002B9"/>
    <w:pPr>
      <w:spacing w:line="28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rPr>
      <w:b/>
      <w:color w:val="595959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A67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89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9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8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9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913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D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18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189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535F"/>
    <w:pPr>
      <w:widowControl/>
    </w:p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+YQ+tiZqVJKl4SfClYdpBiAfxg==">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Żurek, Krzysztof</cp:lastModifiedBy>
  <cp:revision>7</cp:revision>
  <dcterms:created xsi:type="dcterms:W3CDTF">2022-10-11T12:58:00Z</dcterms:created>
  <dcterms:modified xsi:type="dcterms:W3CDTF">2022-10-11T14:28:00Z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